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b w:val="1"/>
          <w:bCs w:val="1"/>
          <w:sz w:val="24"/>
          <w:szCs w:val="24"/>
          <w:u w:val="single"/>
        </w:rPr>
      </w:pPr>
      <w:r w:rsidDel="00000000" w:rsidR="00000000" w:rsidRPr="00000000">
        <w:rPr>
          <w:rFonts w:ascii="Times New Roman" w:cs="Times New Roman" w:eastAsia="Times New Roman" w:hAnsi="Times New Roman"/>
          <w:b w:val="1"/>
          <w:bCs w:val="1"/>
          <w:rtl w:val="0"/>
        </w:rPr>
        <w:t xml:space="preserve">UNIVERSITATEA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rtl w:val="0"/>
        </w:rPr>
        <w:t xml:space="preserve">FACULTATEA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de Științe Politice</w: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DEPARTAMENTUL </w:t>
      </w:r>
      <w:r w:rsidDel="00000000" w:rsidR="00000000" w:rsidRPr="00000000">
        <w:rPr>
          <w:rFonts w:ascii="Times New Roman" w:cs="Times New Roman" w:eastAsia="Times New Roman" w:hAnsi="Times New Roman"/>
          <w:i w:val="1"/>
          <w:iCs w:val="1"/>
          <w:sz w:val="24"/>
          <w:szCs w:val="24"/>
          <w:u w:val="single"/>
          <w:rtl w:val="0"/>
        </w:rPr>
        <w:t xml:space="preserve">Științe Politice și Studii Europene</w:t>
      </w:r>
      <w:r w:rsidDel="00000000" w:rsidR="00000000" w:rsidRPr="00000000">
        <w:rPr>
          <w:rtl w:val="0"/>
        </w:rPr>
      </w:r>
    </w:p>
    <w:p w:rsidR="00000000" w:rsidDel="00000000" w:rsidP="00000000" w:rsidRDefault="00000000" w:rsidRPr="00000000" w14:paraId="00000005">
      <w:pPr>
        <w:ind w:right="-567"/>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DOMENIUL DE STUDII </w:t>
      </w:r>
      <w:r w:rsidDel="00000000" w:rsidR="00000000" w:rsidRPr="00000000">
        <w:rPr>
          <w:rFonts w:ascii="Times New Roman" w:cs="Times New Roman" w:eastAsia="Times New Roman" w:hAnsi="Times New Roman"/>
          <w:i w:val="1"/>
          <w:iCs w:val="1"/>
          <w:sz w:val="24"/>
          <w:szCs w:val="24"/>
          <w:u w:val="single"/>
          <w:rtl w:val="0"/>
        </w:rPr>
        <w:t xml:space="preserve">Științe Politice, Relații Internaționale și Studii Europene</w:t>
      </w:r>
      <w:r w:rsidDel="00000000" w:rsidR="00000000" w:rsidRPr="00000000">
        <w:rPr>
          <w:rFonts w:ascii="Times New Roman" w:cs="Times New Roman" w:eastAsia="Times New Roman" w:hAnsi="Times New Roman"/>
          <w:b w:val="1"/>
          <w:bCs w:val="1"/>
          <w:rtl w:val="0"/>
        </w:rPr>
        <w:t xml:space="preserve"> </w:t>
      </w:r>
    </w:p>
    <w:p w:rsidR="00000000" w:rsidDel="00000000" w:rsidP="00000000" w:rsidRDefault="00000000" w:rsidRPr="00000000" w14:paraId="00000006">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PROGRAMUL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(Specializarea): SP, RISE</w:t>
      </w:r>
      <w:r w:rsidDel="00000000" w:rsidR="00000000" w:rsidRPr="00000000">
        <w:rPr>
          <w:rtl w:val="0"/>
        </w:rPr>
      </w:r>
    </w:p>
    <w:p w:rsidR="00000000" w:rsidDel="00000000" w:rsidP="00000000" w:rsidRDefault="00000000" w:rsidRPr="00000000" w14:paraId="00000007">
      <w:pPr>
        <w:ind w:right="-567"/>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08">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FIŞA DISCIPLINEI</w:t>
      </w:r>
    </w:p>
    <w:p w:rsidR="00000000" w:rsidDel="00000000" w:rsidP="00000000" w:rsidRDefault="00000000" w:rsidRPr="00000000" w14:paraId="0000000B">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Instituțiile Uniunii Europene (IUE)</w:t>
      </w:r>
    </w:p>
    <w:p w:rsidR="00000000" w:rsidDel="00000000" w:rsidP="00000000" w:rsidRDefault="00000000" w:rsidRPr="00000000" w14:paraId="0000000C">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Statutul disciplinei</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MS Mincho" w:cs="MS Mincho" w:eastAsia="MS Mincho" w:hAnsi="MS Mincho"/>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iCs w:val="1"/>
          <w:sz w:val="24"/>
          <w:szCs w:val="24"/>
          <w:rtl w:val="0"/>
        </w:rPr>
        <w:t xml:space="preserve">obligatorie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MS Mincho" w:cs="MS Mincho" w:eastAsia="MS Mincho" w:hAnsi="MS Mincho"/>
          <w:sz w:val="24"/>
          <w:szCs w:val="24"/>
          <w:rtl w:val="0"/>
        </w:rPr>
        <w:t xml:space="preserve">☐ </w:t>
      </w:r>
      <w:r w:rsidDel="00000000" w:rsidR="00000000" w:rsidRPr="00000000">
        <w:rPr>
          <w:rFonts w:ascii="Times New Roman" w:cs="Times New Roman" w:eastAsia="Times New Roman" w:hAnsi="Times New Roman"/>
          <w:i w:val="1"/>
          <w:iCs w:val="1"/>
          <w:sz w:val="24"/>
          <w:szCs w:val="24"/>
          <w:rtl w:val="0"/>
        </w:rPr>
        <w:t xml:space="preserve">opţională</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MS Mincho" w:cs="MS Mincho" w:eastAsia="MS Mincho" w:hAnsi="MS Mincho"/>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iCs w:val="1"/>
          <w:sz w:val="24"/>
          <w:szCs w:val="24"/>
          <w:rtl w:val="0"/>
        </w:rPr>
        <w:t xml:space="preserve">facultativă</w:t>
      </w: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Nivelul de studii</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MS Mincho" w:cs="MS Mincho" w:eastAsia="MS Mincho" w:hAnsi="MS Mincho"/>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iCs w:val="1"/>
          <w:sz w:val="24"/>
          <w:szCs w:val="24"/>
          <w:rtl w:val="0"/>
        </w:rPr>
        <w:t xml:space="preserve">Licenţă</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MS Mincho" w:cs="MS Mincho" w:eastAsia="MS Mincho" w:hAnsi="MS Mincho"/>
          <w:sz w:val="24"/>
          <w:szCs w:val="24"/>
          <w:rtl w:val="0"/>
        </w:rPr>
        <w:t xml:space="preserve">☐ </w:t>
      </w:r>
      <w:r w:rsidDel="00000000" w:rsidR="00000000" w:rsidRPr="00000000">
        <w:rPr>
          <w:rFonts w:ascii="Times New Roman" w:cs="Times New Roman" w:eastAsia="Times New Roman" w:hAnsi="Times New Roman"/>
          <w:i w:val="1"/>
          <w:iCs w:val="1"/>
          <w:sz w:val="24"/>
          <w:szCs w:val="24"/>
          <w:rtl w:val="0"/>
        </w:rPr>
        <w:t xml:space="preserve">Masterat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MS Mincho" w:cs="MS Mincho" w:eastAsia="MS Mincho" w:hAnsi="MS Mincho"/>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iCs w:val="1"/>
          <w:sz w:val="24"/>
          <w:szCs w:val="24"/>
          <w:rtl w:val="0"/>
        </w:rPr>
        <w:t xml:space="preserve">Doctorat</w:t>
      </w:r>
      <w:r w:rsidDel="00000000" w:rsidR="00000000" w:rsidRPr="00000000">
        <w:rPr>
          <w:rtl w:val="0"/>
        </w:rPr>
      </w:r>
    </w:p>
    <w:p w:rsidR="00000000" w:rsidDel="00000000" w:rsidP="00000000" w:rsidRDefault="00000000" w:rsidRPr="00000000" w14:paraId="00000010">
      <w:pPr>
        <w:spacing w:line="360" w:lineRule="auto"/>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Anul de studii</w:t>
      </w:r>
      <w:r w:rsidDel="00000000" w:rsidR="00000000" w:rsidRPr="00000000">
        <w:rPr>
          <w:rFonts w:ascii="Times New Roman" w:cs="Times New Roman" w:eastAsia="Times New Roman" w:hAnsi="Times New Roman"/>
          <w:sz w:val="24"/>
          <w:szCs w:val="24"/>
          <w:rtl w:val="0"/>
        </w:rPr>
        <w:t xml:space="preserve">: II</w:t>
      </w:r>
    </w:p>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Semestrul</w:t>
      </w:r>
      <w:r w:rsidDel="00000000" w:rsidR="00000000" w:rsidRPr="00000000">
        <w:rPr>
          <w:rFonts w:ascii="Times New Roman" w:cs="Times New Roman" w:eastAsia="Times New Roman" w:hAnsi="Times New Roman"/>
          <w:sz w:val="24"/>
          <w:szCs w:val="24"/>
          <w:rtl w:val="0"/>
        </w:rPr>
        <w:t xml:space="preserve">: I</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Titularul cursului: </w:t>
      </w:r>
      <w:r w:rsidDel="00000000" w:rsidR="00000000" w:rsidRPr="00000000">
        <w:rPr>
          <w:rFonts w:ascii="Times New Roman" w:cs="Times New Roman" w:eastAsia="Times New Roman" w:hAnsi="Times New Roman"/>
          <w:b w:val="1"/>
          <w:bCs w:val="1"/>
          <w:sz w:val="24"/>
          <w:szCs w:val="24"/>
          <w:rtl w:val="0"/>
        </w:rPr>
        <w:t xml:space="preserve">Prof.univ.dr. Iordan Gheorghe Bărbulescu</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sz w:val="24"/>
          <w:szCs w:val="24"/>
        </w:rPr>
      </w:pPr>
      <w:r w:rsidDel="00000000" w:rsidR="00000000" w:rsidRPr="00000000">
        <w:rPr>
          <w:rtl w:val="0"/>
        </w:rPr>
      </w:r>
    </w:p>
    <w:tbl>
      <w:tblPr>
        <w:tblStyle w:val="Table1"/>
        <w:tblW w:w="9747.0" w:type="dxa"/>
        <w:jc w:val="left"/>
        <w:tblBorders>
          <w:top w:color="000000" w:space="0" w:sz="0" w:val="nil"/>
          <w:left w:color="000000" w:space="0" w:sz="0" w:val="nil"/>
          <w:bottom w:color="000000" w:space="0" w:sz="0" w:val="nil"/>
          <w:right w:color="000000" w:space="0" w:sz="0" w:val="nil"/>
        </w:tblBorders>
        <w:tblLayout w:type="fixed"/>
        <w:tblLook w:val="0000"/>
      </w:tblPr>
      <w:tblGrid>
        <w:gridCol w:w="2692"/>
        <w:gridCol w:w="1551"/>
        <w:gridCol w:w="1357"/>
        <w:gridCol w:w="1454"/>
        <w:gridCol w:w="1454"/>
        <w:gridCol w:w="1239"/>
        <w:tblGridChange w:id="0">
          <w:tblGrid>
            <w:gridCol w:w="2692"/>
            <w:gridCol w:w="1551"/>
            <w:gridCol w:w="1357"/>
            <w:gridCol w:w="1454"/>
            <w:gridCol w:w="1454"/>
            <w:gridCol w:w="1239"/>
          </w:tblGrid>
        </w:tblGridChange>
      </w:tblGrid>
      <w:tr>
        <w:trPr>
          <w:cantSplit w:val="0"/>
          <w:trHeight w:val="159" w:hRule="atLeast"/>
          <w:tblHeader w:val="0"/>
        </w:trPr>
        <w:tc>
          <w:tcPr>
            <w:gridSpan w:val="6"/>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Număr de ore/Verificarea/Credite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C=28, SI=47</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S=28, SI=47</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E</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6</w:t>
            </w:r>
          </w:p>
        </w:tc>
      </w:tr>
    </w:tbl>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sz w:val="24"/>
          <w:szCs w:val="24"/>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color w:val="000000"/>
          <w:sz w:val="23"/>
          <w:szCs w:val="23"/>
        </w:rPr>
      </w:pPr>
      <w:r w:rsidDel="00000000" w:rsidR="00000000" w:rsidRPr="00000000">
        <w:rPr>
          <w:rFonts w:ascii="Times New Roman" w:cs="Times New Roman" w:eastAsia="Times New Roman" w:hAnsi="Times New Roman"/>
          <w:b w:val="1"/>
          <w:bCs w:val="1"/>
          <w:color w:val="000000"/>
          <w:sz w:val="24"/>
          <w:szCs w:val="24"/>
          <w:rtl w:val="0"/>
        </w:rPr>
        <w:t xml:space="preserve">A. OBIECTIVELE DISCIPLINEI</w:t>
      </w: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sz w:val="16"/>
          <w:szCs w:val="16"/>
        </w:rPr>
      </w:pPr>
      <w:r w:rsidDel="00000000" w:rsidR="00000000" w:rsidRPr="00000000">
        <w:rPr>
          <w:rtl w:val="0"/>
        </w:rPr>
      </w:r>
    </w:p>
    <w:p w:rsidR="00000000" w:rsidDel="00000000" w:rsidP="00000000" w:rsidRDefault="00000000" w:rsidRPr="00000000" w14:paraId="0000002B">
      <w:pPr>
        <w:spacing w:after="0" w:line="360" w:lineRule="auto"/>
        <w:ind w:right="-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Cursul “Instituțiile Uniunii Europene” urmărește familiarizarea studenților cu sistemul instituțional al UE înțeles în devenirea sa. Un loc important îl ocupă, de asemenea, cunoașterea paradigmelor Uniunii – funcționalism versus federalism, interguvernamentalism versus federalism, cooperare versus integrare -, cât și a metodei, actorilor, valorilor Uniunii. Nu în ultimul rând, cursul urmărește să facă cunoscut “parcursul european” al României și să stimuleze cercetarea diferitelor teme legate de aceasta.</w:t>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sz w:val="16"/>
          <w:szCs w:val="16"/>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i w:val="1"/>
          <w:iCs w:val="1"/>
          <w:color w:val="000000"/>
          <w:sz w:val="23"/>
          <w:szCs w:val="23"/>
        </w:rPr>
      </w:pPr>
      <w:r w:rsidDel="00000000" w:rsidR="00000000" w:rsidRPr="00000000">
        <w:rPr>
          <w:rFonts w:ascii="Times New Roman" w:cs="Times New Roman" w:eastAsia="Times New Roman" w:hAnsi="Times New Roman"/>
          <w:b w:val="1"/>
          <w:bCs w:val="1"/>
          <w:color w:val="000000"/>
          <w:sz w:val="24"/>
          <w:szCs w:val="24"/>
          <w:rtl w:val="0"/>
        </w:rPr>
        <w:t xml:space="preserve">B. PRECONDIŢII DE ACCESARE A DISCIPLINEI</w:t>
      </w: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NU</w:t>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b w:val="1"/>
          <w:bCs w:val="1"/>
          <w:color w:val="000000"/>
          <w:sz w:val="24"/>
          <w:szCs w:val="24"/>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i w:val="1"/>
          <w:iCs w:val="1"/>
          <w:color w:val="000000"/>
          <w:sz w:val="23"/>
          <w:szCs w:val="23"/>
        </w:rPr>
      </w:pPr>
      <w:r w:rsidDel="00000000" w:rsidR="00000000" w:rsidRPr="00000000">
        <w:rPr>
          <w:rFonts w:ascii="Times New Roman" w:cs="Times New Roman" w:eastAsia="Times New Roman" w:hAnsi="Times New Roman"/>
          <w:b w:val="1"/>
          <w:bCs w:val="1"/>
          <w:color w:val="000000"/>
          <w:sz w:val="24"/>
          <w:szCs w:val="24"/>
          <w:rtl w:val="0"/>
        </w:rPr>
        <w:t xml:space="preserve">C. COMPETENŢE SPECIFICE</w:t>
      </w: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 Cunoaştere şi înţelegere (cunoaşterea şi utilizarea </w:t>
      </w:r>
      <w:r w:rsidDel="00000000" w:rsidR="00000000" w:rsidRPr="00000000">
        <w:rPr>
          <w:rFonts w:ascii="Times New Roman" w:cs="Times New Roman" w:eastAsia="Times New Roman" w:hAnsi="Times New Roman"/>
          <w:sz w:val="24"/>
          <w:szCs w:val="24"/>
          <w:rtl w:val="0"/>
        </w:rPr>
        <w:t xml:space="preserve">adecvată</w:t>
      </w:r>
      <w:r w:rsidDel="00000000" w:rsidR="00000000" w:rsidRPr="00000000">
        <w:rPr>
          <w:rFonts w:ascii="Times New Roman" w:cs="Times New Roman" w:eastAsia="Times New Roman" w:hAnsi="Times New Roman"/>
          <w:color w:val="000000"/>
          <w:sz w:val="24"/>
          <w:szCs w:val="24"/>
          <w:rtl w:val="0"/>
        </w:rPr>
        <w:t xml:space="preserve"> a noţiunilor specifice disciplinei)</w:t>
      </w:r>
    </w:p>
    <w:p w:rsidR="00000000" w:rsidDel="00000000" w:rsidP="00000000" w:rsidRDefault="00000000" w:rsidRPr="00000000" w14:paraId="00000032">
      <w:pPr>
        <w:numPr>
          <w:ilvl w:val="0"/>
          <w:numId w:val="1"/>
        </w:numPr>
        <w:pBdr>
          <w:top w:space="0" w:sz="0" w:val="nil"/>
          <w:left w:space="0" w:sz="0" w:val="nil"/>
          <w:bottom w:space="0" w:sz="0" w:val="nil"/>
          <w:right w:space="0" w:sz="0" w:val="nil"/>
          <w:between w:space="0" w:sz="0" w:val="nil"/>
        </w:pBdr>
        <w:spacing w:after="0" w:line="360" w:lineRule="auto"/>
        <w:ind w:left="1070" w:hanging="71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Inițierea în cunoașterea sistemului instituțional al Uniunii Europene</w:t>
      </w:r>
    </w:p>
    <w:p w:rsidR="00000000" w:rsidDel="00000000" w:rsidP="00000000" w:rsidRDefault="00000000" w:rsidRPr="00000000" w14:paraId="00000033">
      <w:pPr>
        <w:numPr>
          <w:ilvl w:val="0"/>
          <w:numId w:val="1"/>
        </w:numPr>
        <w:pBdr>
          <w:top w:space="0" w:sz="0" w:val="nil"/>
          <w:left w:space="0" w:sz="0" w:val="nil"/>
          <w:bottom w:space="0" w:sz="0" w:val="nil"/>
          <w:right w:space="0" w:sz="0" w:val="nil"/>
          <w:between w:space="0" w:sz="0" w:val="nil"/>
        </w:pBdr>
        <w:spacing w:after="0" w:line="360" w:lineRule="auto"/>
        <w:ind w:left="1070" w:hanging="71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Cunoașterea obiectivelor, actorilor și metodei construcției europene</w:t>
      </w:r>
    </w:p>
    <w:p w:rsidR="00000000" w:rsidDel="00000000" w:rsidP="00000000" w:rsidRDefault="00000000" w:rsidRPr="00000000" w14:paraId="00000034">
      <w:pPr>
        <w:numPr>
          <w:ilvl w:val="0"/>
          <w:numId w:val="1"/>
        </w:numPr>
        <w:pBdr>
          <w:top w:space="0" w:sz="0" w:val="nil"/>
          <w:left w:space="0" w:sz="0" w:val="nil"/>
          <w:bottom w:space="0" w:sz="0" w:val="nil"/>
          <w:right w:space="0" w:sz="0" w:val="nil"/>
          <w:between w:space="0" w:sz="0" w:val="nil"/>
        </w:pBdr>
        <w:spacing w:after="0" w:line="360" w:lineRule="auto"/>
        <w:ind w:left="1070" w:hanging="71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Procesul istoric al integrării europene</w:t>
      </w:r>
    </w:p>
    <w:p w:rsidR="00000000" w:rsidDel="00000000" w:rsidP="00000000" w:rsidRDefault="00000000" w:rsidRPr="00000000" w14:paraId="00000035">
      <w:pPr>
        <w:numPr>
          <w:ilvl w:val="0"/>
          <w:numId w:val="1"/>
        </w:numPr>
        <w:pBdr>
          <w:top w:space="0" w:sz="0" w:val="nil"/>
          <w:left w:space="0" w:sz="0" w:val="nil"/>
          <w:bottom w:space="0" w:sz="0" w:val="nil"/>
          <w:right w:space="0" w:sz="0" w:val="nil"/>
          <w:between w:space="0" w:sz="0" w:val="nil"/>
        </w:pBdr>
        <w:spacing w:after="0" w:line="360" w:lineRule="auto"/>
        <w:ind w:left="1070" w:hanging="71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România, membru UE</w:t>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 Explicare şi interpretare (explicarea şi interpretarea unor idei, proiecte, procese, precum şi a conţinuturilor teoretice şi practice ale disciplinei)</w:t>
      </w:r>
    </w:p>
    <w:p w:rsidR="00000000" w:rsidDel="00000000" w:rsidP="00000000" w:rsidRDefault="00000000" w:rsidRPr="00000000" w14:paraId="00000037">
      <w:pPr>
        <w:numPr>
          <w:ilvl w:val="0"/>
          <w:numId w:val="1"/>
        </w:numPr>
        <w:pBdr>
          <w:top w:space="0" w:sz="0" w:val="nil"/>
          <w:left w:space="0" w:sz="0" w:val="nil"/>
          <w:bottom w:space="0" w:sz="0" w:val="nil"/>
          <w:right w:space="0" w:sz="0" w:val="nil"/>
          <w:between w:space="0" w:sz="0" w:val="nil"/>
        </w:pBdr>
        <w:spacing w:after="0" w:line="360" w:lineRule="auto"/>
        <w:ind w:left="1070" w:hanging="71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Capacitatea de a analiza locul și rolul instituțiilor europene în dinamica lor</w:t>
      </w:r>
    </w:p>
    <w:p w:rsidR="00000000" w:rsidDel="00000000" w:rsidP="00000000" w:rsidRDefault="00000000" w:rsidRPr="00000000" w14:paraId="00000038">
      <w:pPr>
        <w:numPr>
          <w:ilvl w:val="0"/>
          <w:numId w:val="1"/>
        </w:numPr>
        <w:pBdr>
          <w:top w:space="0" w:sz="0" w:val="nil"/>
          <w:left w:space="0" w:sz="0" w:val="nil"/>
          <w:bottom w:space="0" w:sz="0" w:val="nil"/>
          <w:right w:space="0" w:sz="0" w:val="nil"/>
          <w:between w:space="0" w:sz="0" w:val="nil"/>
        </w:pBdr>
        <w:spacing w:after="0" w:line="360" w:lineRule="auto"/>
        <w:ind w:left="1070" w:hanging="71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Capacitatea de a analiza impactul aderării României la UE din această perspectivă</w:t>
      </w:r>
    </w:p>
    <w:p w:rsidR="00000000" w:rsidDel="00000000" w:rsidP="00000000" w:rsidRDefault="00000000" w:rsidRPr="00000000" w14:paraId="00000039">
      <w:pPr>
        <w:numPr>
          <w:ilvl w:val="0"/>
          <w:numId w:val="1"/>
        </w:numPr>
        <w:pBdr>
          <w:top w:space="0" w:sz="0" w:val="nil"/>
          <w:left w:space="0" w:sz="0" w:val="nil"/>
          <w:bottom w:space="0" w:sz="0" w:val="nil"/>
          <w:right w:space="0" w:sz="0" w:val="nil"/>
          <w:between w:space="0" w:sz="0" w:val="nil"/>
        </w:pBdr>
        <w:spacing w:after="0" w:line="360" w:lineRule="auto"/>
        <w:ind w:left="1070" w:hanging="71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Capacitatea de a gândi în “paradigma” europeană</w:t>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 Instrumental- aplicative (proiectarea, conducerea şi evaluarea activităţilor practice specifice: utilizarea unor metode, tehnici şi instrumente de investigare şi de aplicare)</w:t>
      </w:r>
    </w:p>
    <w:p w:rsidR="00000000" w:rsidDel="00000000" w:rsidP="00000000" w:rsidRDefault="00000000" w:rsidRPr="00000000" w14:paraId="0000003B">
      <w:pPr>
        <w:numPr>
          <w:ilvl w:val="0"/>
          <w:numId w:val="1"/>
        </w:numPr>
        <w:pBdr>
          <w:top w:space="0" w:sz="0" w:val="nil"/>
          <w:left w:space="0" w:sz="0" w:val="nil"/>
          <w:bottom w:space="0" w:sz="0" w:val="nil"/>
          <w:right w:space="0" w:sz="0" w:val="nil"/>
          <w:between w:space="0" w:sz="0" w:val="nil"/>
        </w:pBdr>
        <w:spacing w:after="0" w:line="360" w:lineRule="auto"/>
        <w:ind w:left="1070" w:hanging="71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Analiza </w:t>
      </w:r>
      <w:r w:rsidDel="00000000" w:rsidR="00000000" w:rsidRPr="00000000">
        <w:rPr>
          <w:rFonts w:ascii="Times New Roman" w:cs="Times New Roman" w:eastAsia="Times New Roman" w:hAnsi="Times New Roman"/>
          <w:sz w:val="24"/>
          <w:szCs w:val="24"/>
          <w:rtl w:val="0"/>
        </w:rPr>
        <w:t xml:space="preserve">instituțiilor</w:t>
      </w:r>
      <w:r w:rsidDel="00000000" w:rsidR="00000000" w:rsidRPr="00000000">
        <w:rPr>
          <w:rFonts w:ascii="Times New Roman" w:cs="Times New Roman" w:eastAsia="Times New Roman" w:hAnsi="Times New Roman"/>
          <w:color w:val="000000"/>
          <w:sz w:val="24"/>
          <w:szCs w:val="24"/>
          <w:rtl w:val="0"/>
        </w:rPr>
        <w:t xml:space="preserve"> europene din perspectiva teoriilor </w:t>
      </w:r>
      <w:r w:rsidDel="00000000" w:rsidR="00000000" w:rsidRPr="00000000">
        <w:rPr>
          <w:rFonts w:ascii="Times New Roman" w:cs="Times New Roman" w:eastAsia="Times New Roman" w:hAnsi="Times New Roman"/>
          <w:sz w:val="24"/>
          <w:szCs w:val="24"/>
          <w:rtl w:val="0"/>
        </w:rPr>
        <w:t xml:space="preserve">integrării europene</w:t>
      </w:r>
      <w:r w:rsidDel="00000000" w:rsidR="00000000" w:rsidRPr="00000000">
        <w:rPr>
          <w:rtl w:val="0"/>
        </w:rPr>
      </w:r>
    </w:p>
    <w:p w:rsidR="00000000" w:rsidDel="00000000" w:rsidP="00000000" w:rsidRDefault="00000000" w:rsidRPr="00000000" w14:paraId="0000003C">
      <w:pPr>
        <w:numPr>
          <w:ilvl w:val="0"/>
          <w:numId w:val="1"/>
        </w:numPr>
        <w:pBdr>
          <w:top w:space="0" w:sz="0" w:val="nil"/>
          <w:left w:space="0" w:sz="0" w:val="nil"/>
          <w:bottom w:space="0" w:sz="0" w:val="nil"/>
          <w:right w:space="0" w:sz="0" w:val="nil"/>
          <w:between w:space="0" w:sz="0" w:val="nil"/>
        </w:pBdr>
        <w:spacing w:after="0" w:line="360" w:lineRule="auto"/>
        <w:ind w:left="1070" w:hanging="71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Analize de conținut ale legislației și activității instituțiilor UE</w:t>
      </w:r>
    </w:p>
    <w:p w:rsidR="00000000" w:rsidDel="00000000" w:rsidP="00000000" w:rsidRDefault="00000000" w:rsidRPr="00000000" w14:paraId="0000003D">
      <w:pPr>
        <w:numPr>
          <w:ilvl w:val="0"/>
          <w:numId w:val="1"/>
        </w:numPr>
        <w:pBdr>
          <w:top w:space="0" w:sz="0" w:val="nil"/>
          <w:left w:space="0" w:sz="0" w:val="nil"/>
          <w:bottom w:space="0" w:sz="0" w:val="nil"/>
          <w:right w:space="0" w:sz="0" w:val="nil"/>
          <w:between w:space="0" w:sz="0" w:val="nil"/>
        </w:pBdr>
        <w:spacing w:after="0" w:line="360" w:lineRule="auto"/>
        <w:ind w:left="1070" w:hanging="71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Analiza de conținut a documentelor UE</w:t>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 Atitudinale (manifestarea unei atitudini pozitive şi responsabile faţă de domeniul ştiinţific/centrat pe valori şi relaţii democratice/ promovarea unui sistem de valori culturale morale şi civice / valorificarea optimă şi creativă a propriul potenţial în activităţile ştiinţifice / implicarea în dezvoltarea instituţională şi în promovarea inovaţiilor ştiinţifice / angajarea în relaţii de parteneriat cu alte persoane- instituţii cu </w:t>
      </w:r>
      <w:r w:rsidDel="00000000" w:rsidR="00000000" w:rsidRPr="00000000">
        <w:rPr>
          <w:rFonts w:ascii="Times New Roman" w:cs="Times New Roman" w:eastAsia="Times New Roman" w:hAnsi="Times New Roman"/>
          <w:sz w:val="24"/>
          <w:szCs w:val="24"/>
          <w:rtl w:val="0"/>
        </w:rPr>
        <w:t xml:space="preserve">responsabilități</w:t>
      </w:r>
      <w:r w:rsidDel="00000000" w:rsidR="00000000" w:rsidRPr="00000000">
        <w:rPr>
          <w:rFonts w:ascii="Times New Roman" w:cs="Times New Roman" w:eastAsia="Times New Roman" w:hAnsi="Times New Roman"/>
          <w:color w:val="000000"/>
          <w:sz w:val="24"/>
          <w:szCs w:val="24"/>
          <w:rtl w:val="0"/>
        </w:rPr>
        <w:t xml:space="preserve"> similare / participarea la propria dezvoltare profesională).</w:t>
      </w:r>
    </w:p>
    <w:p w:rsidR="00000000" w:rsidDel="00000000" w:rsidP="00000000" w:rsidRDefault="00000000" w:rsidRPr="00000000" w14:paraId="0000003F">
      <w:pPr>
        <w:numPr>
          <w:ilvl w:val="0"/>
          <w:numId w:val="1"/>
        </w:numPr>
        <w:pBdr>
          <w:top w:space="0" w:sz="0" w:val="nil"/>
          <w:left w:space="0" w:sz="0" w:val="nil"/>
          <w:bottom w:space="0" w:sz="0" w:val="nil"/>
          <w:right w:space="0" w:sz="0" w:val="nil"/>
          <w:between w:space="0" w:sz="0" w:val="nil"/>
        </w:pBdr>
        <w:spacing w:after="0" w:line="360" w:lineRule="auto"/>
        <w:ind w:left="1070" w:hanging="71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Promovarea valorilor proprii UE</w:t>
      </w:r>
    </w:p>
    <w:p w:rsidR="00000000" w:rsidDel="00000000" w:rsidP="00000000" w:rsidRDefault="00000000" w:rsidRPr="00000000" w14:paraId="00000040">
      <w:pPr>
        <w:numPr>
          <w:ilvl w:val="0"/>
          <w:numId w:val="1"/>
        </w:numPr>
        <w:pBdr>
          <w:top w:space="0" w:sz="0" w:val="nil"/>
          <w:left w:space="0" w:sz="0" w:val="nil"/>
          <w:bottom w:space="0" w:sz="0" w:val="nil"/>
          <w:right w:space="0" w:sz="0" w:val="nil"/>
          <w:between w:space="0" w:sz="0" w:val="nil"/>
        </w:pBdr>
        <w:spacing w:after="0" w:line="360" w:lineRule="auto"/>
        <w:ind w:left="1070" w:hanging="71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Sensibilizarea la problematica UE înțeleasă ca fiind și a României</w:t>
      </w:r>
    </w:p>
    <w:p w:rsidR="00000000" w:rsidDel="00000000" w:rsidP="00000000" w:rsidRDefault="00000000" w:rsidRPr="00000000" w14:paraId="00000041">
      <w:pPr>
        <w:numPr>
          <w:ilvl w:val="0"/>
          <w:numId w:val="1"/>
        </w:numPr>
        <w:pBdr>
          <w:top w:space="0" w:sz="0" w:val="nil"/>
          <w:left w:space="0" w:sz="0" w:val="nil"/>
          <w:bottom w:space="0" w:sz="0" w:val="nil"/>
          <w:right w:space="0" w:sz="0" w:val="nil"/>
          <w:between w:space="0" w:sz="0" w:val="nil"/>
        </w:pBdr>
        <w:spacing w:after="0" w:line="360" w:lineRule="auto"/>
        <w:ind w:left="1070" w:hanging="71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Manifestarea unei atitudini pozitive și active față de problematica UE</w:t>
      </w:r>
    </w:p>
    <w:p w:rsidR="00000000" w:rsidDel="00000000" w:rsidP="00000000" w:rsidRDefault="00000000" w:rsidRPr="00000000" w14:paraId="00000042">
      <w:pPr>
        <w:numPr>
          <w:ilvl w:val="0"/>
          <w:numId w:val="1"/>
        </w:numPr>
        <w:pBdr>
          <w:top w:space="0" w:sz="0" w:val="nil"/>
          <w:left w:space="0" w:sz="0" w:val="nil"/>
          <w:bottom w:space="0" w:sz="0" w:val="nil"/>
          <w:right w:space="0" w:sz="0" w:val="nil"/>
          <w:between w:space="0" w:sz="0" w:val="nil"/>
        </w:pBdr>
        <w:spacing w:after="0" w:line="360" w:lineRule="auto"/>
        <w:ind w:left="1070" w:hanging="71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Participarea la activități practice legate de problematica studiată.</w:t>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b w:val="1"/>
          <w:bCs w:val="1"/>
          <w:sz w:val="24"/>
          <w:szCs w:val="24"/>
        </w:rPr>
      </w:pPr>
      <w:r w:rsidDel="00000000" w:rsidR="00000000" w:rsidRPr="00000000">
        <w:rPr>
          <w:rtl w:val="0"/>
        </w:rPr>
      </w:r>
    </w:p>
    <w:sdt>
      <w:sdtPr>
        <w:lock w:val="contentLocked"/>
        <w:id w:val="997159998"/>
        <w:tag w:val="goog_rdk_0"/>
      </w:sdtPr>
      <w:sdtContent>
        <w:tbl>
          <w:tblPr>
            <w:tblStyle w:val="Table2"/>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spacing w:after="0" w:line="276" w:lineRule="auto"/>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rtl w:val="0"/>
                  </w:rPr>
                  <w:t xml:space="preserve">Elaborarea fişei disciplinei Instituțiile Uniunii Europene a avut loc în urma discutării conţinutului disciplinei şi a cerinţelor practice cu specialişti şi practicieni din domeniu care îşi desfăşoară activitatea în domeniul politicii externe și diplomației, dar şi pornind de la competenţele profesionale cerute de piaţa muncii.</w:t>
                </w:r>
                <w:r w:rsidDel="00000000" w:rsidR="00000000" w:rsidRPr="00000000">
                  <w:rPr>
                    <w:rtl w:val="0"/>
                  </w:rPr>
                </w:r>
              </w:p>
            </w:tc>
          </w:tr>
        </w:tbl>
      </w:sdtContent>
    </w:sdt>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b w:val="1"/>
          <w:bCs w:val="1"/>
          <w:sz w:val="24"/>
          <w:szCs w:val="24"/>
        </w:rPr>
      </w:pPr>
      <w:r w:rsidDel="00000000" w:rsidR="00000000" w:rsidRPr="00000000">
        <w:rPr>
          <w:rtl w:val="0"/>
        </w:rPr>
      </w:r>
    </w:p>
    <w:sdt>
      <w:sdtPr>
        <w:lock w:val="contentLocked"/>
        <w:id w:val="1471799237"/>
        <w:tag w:val="goog_rdk_1"/>
      </w:sdtPr>
      <w:sdtContent>
        <w:tbl>
          <w:tblPr>
            <w:tblStyle w:val="Table3"/>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Rezultatele învățării</w:t>
                </w:r>
              </w:p>
              <w:p w:rsidR="00000000" w:rsidDel="00000000" w:rsidP="00000000" w:rsidRDefault="00000000" w:rsidRPr="00000000" w14:paraId="00000049">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Cunoștințe </w:t>
                </w:r>
              </w:p>
              <w:p w:rsidR="00000000" w:rsidDel="00000000" w:rsidP="00000000" w:rsidRDefault="00000000" w:rsidRPr="00000000" w14:paraId="0000004A">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Studentul/Absolventul recunoaște, analizează și explică procedurile legate de aplicarea politicilor guvernamentale la toate nivelurile administrației publice.</w:t>
                </w:r>
              </w:p>
              <w:p w:rsidR="00000000" w:rsidDel="00000000" w:rsidP="00000000" w:rsidRDefault="00000000" w:rsidRPr="00000000" w14:paraId="0000004B">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C9: Studentul/Absolventul descrie și analizează concepte, teorii și paradigme utilizate în domeniul relațiilor internaționale.</w:t>
                </w:r>
              </w:p>
              <w:p w:rsidR="00000000" w:rsidDel="00000000" w:rsidP="00000000" w:rsidRDefault="00000000" w:rsidRPr="00000000" w14:paraId="0000004C">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C10: Studentul/Absolventul arată cunoaștere aprofundată si înțelegere complexă a domeniului relațiilor internaționale și studiilor europene.</w:t>
                </w:r>
              </w:p>
              <w:p w:rsidR="00000000" w:rsidDel="00000000" w:rsidP="00000000" w:rsidRDefault="00000000" w:rsidRPr="00000000" w14:paraId="0000004D">
                <w:pPr>
                  <w:spacing w:after="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E">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Aptitudini </w:t>
                </w:r>
              </w:p>
              <w:p w:rsidR="00000000" w:rsidDel="00000000" w:rsidP="00000000" w:rsidRDefault="00000000" w:rsidRPr="00000000" w14:paraId="0000004F">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50">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A5: Studentul/Absolventul dezvoltă și demonstrează cunoașterea aprofundată și înțelegerea complexă a unui anumit domeniu de cercetare, inclusiv a cercetării responsabile, a principiilor etice și de integritate științifică în materie de cercetare, respectul vieții private și a cerințelor RGPD, legate de activitățile de cercetare dintr-o anumită disciplină.</w:t>
                </w:r>
              </w:p>
              <w:p w:rsidR="00000000" w:rsidDel="00000000" w:rsidP="00000000" w:rsidRDefault="00000000" w:rsidRPr="00000000" w14:paraId="00000051">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A6: Studentul/Absolventul elaborează documente de cercetare sau susține prezentări pentru a raporta rezultatele unui proiect de cercetare și analiză desfășurat, indicând procedurile de analiză și metodele care au condus la rezultatele respective, precum și posibile interpretări ale rezultatelor</w:t>
                </w:r>
              </w:p>
              <w:p w:rsidR="00000000" w:rsidDel="00000000" w:rsidP="00000000" w:rsidRDefault="00000000" w:rsidRPr="00000000" w14:paraId="00000052">
                <w:pPr>
                  <w:spacing w:after="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3">
                <w:pPr>
                  <w:spacing w:after="0" w:line="276" w:lineRule="auto"/>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54">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Responsabilitate și autonomie</w:t>
                </w:r>
              </w:p>
              <w:p w:rsidR="00000000" w:rsidDel="00000000" w:rsidP="00000000" w:rsidRDefault="00000000" w:rsidRPr="00000000" w14:paraId="00000055">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56">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R4: Studentul/Absolventul pronunță si apără hotărâri pe baza dovezilor interne și a criteriilor externe. Evaluează critic credibilitatea și fiabilitatea informațiilor înainte de a le utiliza sau de a le transmite altora. Dezvoltă o gândire independentă și critică.</w:t>
                </w:r>
              </w:p>
              <w:p w:rsidR="00000000" w:rsidDel="00000000" w:rsidP="00000000" w:rsidRDefault="00000000" w:rsidRPr="00000000" w14:paraId="00000057">
                <w:pPr>
                  <w:spacing w:after="0" w:line="276" w:lineRule="auto"/>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rtl w:val="0"/>
                  </w:rPr>
                  <w:t xml:space="preserve">R5: Studentul/Absolventul lucrează cu încredere în cadrul unui grup, fiecare făcându-și partea lui în serviciul întregului.</w:t>
                </w:r>
                <w:r w:rsidDel="00000000" w:rsidR="00000000" w:rsidRPr="00000000">
                  <w:rPr>
                    <w:rtl w:val="0"/>
                  </w:rPr>
                </w:r>
              </w:p>
            </w:tc>
          </w:tr>
        </w:tbl>
      </w:sdtContent>
    </w:sdt>
    <w:p w:rsidR="00000000" w:rsidDel="00000000" w:rsidP="00000000" w:rsidRDefault="00000000" w:rsidRPr="00000000" w14:paraId="00000058">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D. CONŢINUTUL DISCIPLINEI </w:t>
      </w:r>
      <w:r w:rsidDel="00000000" w:rsidR="00000000" w:rsidRPr="00000000">
        <w:rPr>
          <w:rtl w:val="0"/>
        </w:rPr>
      </w:r>
    </w:p>
    <w:p w:rsidR="00000000" w:rsidDel="00000000" w:rsidP="00000000" w:rsidRDefault="00000000" w:rsidRPr="00000000" w14:paraId="0000005A">
      <w:pPr>
        <w:numPr>
          <w:ilvl w:val="0"/>
          <w:numId w:val="2"/>
        </w:numPr>
        <w:pBdr>
          <w:top w:space="0" w:sz="0" w:val="nil"/>
          <w:left w:space="0" w:sz="0" w:val="nil"/>
          <w:bottom w:space="0" w:sz="0" w:val="nil"/>
          <w:right w:space="0" w:sz="0" w:val="nil"/>
          <w:between w:space="0" w:sz="0" w:val="nil"/>
        </w:pBdr>
        <w:spacing w:after="0" w:line="240" w:lineRule="auto"/>
        <w:ind w:left="400" w:hanging="360"/>
        <w:rPr>
          <w:rFonts w:ascii="Times New Roman" w:cs="Times New Roman" w:eastAsia="Times New Roman" w:hAnsi="Times New Roman"/>
          <w:b w:val="1"/>
          <w:bCs w:val="1"/>
          <w:i w:val="1"/>
          <w:iCs w:val="1"/>
          <w:color w:val="000000"/>
          <w:sz w:val="24"/>
          <w:szCs w:val="24"/>
        </w:rPr>
      </w:pPr>
      <w:r w:rsidDel="00000000" w:rsidR="00000000" w:rsidRPr="00000000">
        <w:rPr>
          <w:rFonts w:ascii="Times New Roman" w:cs="Times New Roman" w:eastAsia="Times New Roman" w:hAnsi="Times New Roman"/>
          <w:b w:val="1"/>
          <w:bCs w:val="1"/>
          <w:i w:val="1"/>
          <w:iCs w:val="1"/>
          <w:color w:val="000000"/>
          <w:sz w:val="24"/>
          <w:szCs w:val="24"/>
          <w:rtl w:val="0"/>
        </w:rPr>
        <w:t xml:space="preserve">Curs </w:t>
      </w:r>
    </w:p>
    <w:tbl>
      <w:tblPr>
        <w:tblStyle w:val="Table4"/>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92"/>
        <w:gridCol w:w="2944"/>
        <w:gridCol w:w="4852"/>
        <w:gridCol w:w="959"/>
        <w:tblGridChange w:id="0">
          <w:tblGrid>
            <w:gridCol w:w="992"/>
            <w:gridCol w:w="2944"/>
            <w:gridCol w:w="4852"/>
            <w:gridCol w:w="959"/>
          </w:tblGrid>
        </w:tblGridChange>
      </w:tblGrid>
      <w:tr>
        <w:trPr>
          <w:cantSplit w:val="0"/>
          <w:tblHeader w:val="0"/>
        </w:trPr>
        <w:tc>
          <w:tcPr/>
          <w:p w:rsidR="00000000" w:rsidDel="00000000" w:rsidP="00000000" w:rsidRDefault="00000000" w:rsidRPr="00000000" w14:paraId="0000005B">
            <w:pPr>
              <w:spacing w:after="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Curs</w:t>
            </w:r>
          </w:p>
        </w:tc>
        <w:tc>
          <w:tcPr>
            <w:shd w:fill="auto" w:val="clear"/>
          </w:tcPr>
          <w:p w:rsidR="00000000" w:rsidDel="00000000" w:rsidP="00000000" w:rsidRDefault="00000000" w:rsidRPr="00000000" w14:paraId="0000005C">
            <w:pPr>
              <w:spacing w:after="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Denumire </w:t>
            </w:r>
          </w:p>
        </w:tc>
        <w:tc>
          <w:tcPr>
            <w:shd w:fill="auto" w:val="clear"/>
          </w:tcPr>
          <w:p w:rsidR="00000000" w:rsidDel="00000000" w:rsidP="00000000" w:rsidRDefault="00000000" w:rsidRPr="00000000" w14:paraId="0000005D">
            <w:pPr>
              <w:spacing w:after="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Conținuturi</w:t>
            </w:r>
          </w:p>
        </w:tc>
        <w:tc>
          <w:tcPr>
            <w:shd w:fill="auto" w:val="clear"/>
          </w:tcPr>
          <w:p w:rsidR="00000000" w:rsidDel="00000000" w:rsidP="00000000" w:rsidRDefault="00000000" w:rsidRPr="00000000" w14:paraId="0000005E">
            <w:pPr>
              <w:spacing w:after="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Nr. ore</w:t>
            </w:r>
          </w:p>
        </w:tc>
      </w:tr>
      <w:tr>
        <w:trPr>
          <w:cantSplit w:val="0"/>
          <w:trHeight w:val="700" w:hRule="atLeast"/>
          <w:tblHeader w:val="0"/>
        </w:trPr>
        <w:tc>
          <w:tcPr/>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[C1]</w:t>
            </w:r>
          </w:p>
        </w:tc>
        <w:tc>
          <w:tcPr>
            <w:shd w:fill="auto" w:val="clear"/>
          </w:tcPr>
          <w:p w:rsidR="00000000" w:rsidDel="00000000" w:rsidP="00000000" w:rsidRDefault="00000000" w:rsidRPr="00000000" w14:paraId="00000060">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Curs introductiv</w:t>
            </w:r>
          </w:p>
        </w:tc>
        <w:tc>
          <w:tcPr>
            <w:shd w:fill="auto" w:val="clear"/>
          </w:tcPr>
          <w:p w:rsidR="00000000" w:rsidDel="00000000" w:rsidP="00000000" w:rsidRDefault="00000000" w:rsidRPr="00000000" w14:paraId="00000061">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Prezentarea disciplinei, a regulilor și a principalelor teme abordate.</w:t>
            </w:r>
          </w:p>
        </w:tc>
        <w:tc>
          <w:tcPr>
            <w:shd w:fill="auto" w:val="clear"/>
          </w:tcPr>
          <w:p w:rsidR="00000000" w:rsidDel="00000000" w:rsidP="00000000" w:rsidRDefault="00000000" w:rsidRPr="00000000" w14:paraId="0000006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C=2h</w:t>
            </w:r>
          </w:p>
          <w:p w:rsidR="00000000" w:rsidDel="00000000" w:rsidP="00000000" w:rsidRDefault="00000000" w:rsidRPr="00000000" w14:paraId="0000006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SI=0</w:t>
            </w:r>
          </w:p>
        </w:tc>
      </w:tr>
      <w:tr>
        <w:trPr>
          <w:cantSplit w:val="0"/>
          <w:tblHeader w:val="0"/>
        </w:trPr>
        <w:tc>
          <w:tcPr/>
          <w:p w:rsidR="00000000" w:rsidDel="00000000" w:rsidP="00000000" w:rsidRDefault="00000000" w:rsidRPr="00000000" w14:paraId="00000064">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[C2]</w:t>
            </w:r>
            <w:r w:rsidDel="00000000" w:rsidR="00000000" w:rsidRPr="00000000">
              <w:rPr>
                <w:rtl w:val="0"/>
              </w:rPr>
            </w:r>
          </w:p>
        </w:tc>
        <w:tc>
          <w:tcPr>
            <w:shd w:fill="auto" w:val="clear"/>
          </w:tcPr>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Originile </w:t>
            </w:r>
            <w:r w:rsidDel="00000000" w:rsidR="00000000" w:rsidRPr="00000000">
              <w:rPr>
                <w:rFonts w:ascii="Times New Roman" w:cs="Times New Roman" w:eastAsia="Times New Roman" w:hAnsi="Times New Roman"/>
                <w:sz w:val="24"/>
                <w:szCs w:val="24"/>
                <w:rtl w:val="0"/>
              </w:rPr>
              <w:t xml:space="preserve">și</w:t>
            </w:r>
            <w:r w:rsidDel="00000000" w:rsidR="00000000" w:rsidRPr="00000000">
              <w:rPr>
                <w:rFonts w:ascii="Times New Roman" w:cs="Times New Roman" w:eastAsia="Times New Roman" w:hAnsi="Times New Roman"/>
                <w:color w:val="000000"/>
                <w:sz w:val="24"/>
                <w:szCs w:val="24"/>
                <w:rtl w:val="0"/>
              </w:rPr>
              <w:t xml:space="preserve"> evoluția Uniunii Europene</w:t>
            </w:r>
          </w:p>
        </w:tc>
        <w:tc>
          <w:tcPr>
            <w:shd w:fill="auto" w:val="clear"/>
          </w:tcPr>
          <w:p w:rsidR="00000000" w:rsidDel="00000000" w:rsidP="00000000" w:rsidRDefault="00000000" w:rsidRPr="00000000" w14:paraId="00000066">
            <w:pPr>
              <w:spacing w:after="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Cursul vizează 1) prezentarea rolului idee europene în istorie. 2) prezentarea contextului istoric care a favorizat apariția CECO.</w:t>
            </w:r>
          </w:p>
        </w:tc>
        <w:tc>
          <w:tcPr>
            <w:shd w:fill="auto" w:val="clear"/>
          </w:tcPr>
          <w:p w:rsidR="00000000" w:rsidDel="00000000" w:rsidP="00000000" w:rsidRDefault="00000000" w:rsidRPr="00000000" w14:paraId="0000006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C=2h </w:t>
            </w:r>
          </w:p>
          <w:p w:rsidR="00000000" w:rsidDel="00000000" w:rsidP="00000000" w:rsidRDefault="00000000" w:rsidRPr="00000000" w14:paraId="0000006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SI=4h</w:t>
            </w:r>
          </w:p>
        </w:tc>
      </w:tr>
      <w:tr>
        <w:trPr>
          <w:cantSplit w:val="0"/>
          <w:tblHeader w:val="0"/>
        </w:trPr>
        <w:tc>
          <w:tcPr/>
          <w:p w:rsidR="00000000" w:rsidDel="00000000" w:rsidP="00000000" w:rsidRDefault="00000000" w:rsidRPr="00000000" w14:paraId="00000069">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[C3]</w:t>
            </w:r>
            <w:r w:rsidDel="00000000" w:rsidR="00000000" w:rsidRPr="00000000">
              <w:rPr>
                <w:rtl w:val="0"/>
              </w:rPr>
            </w:r>
          </w:p>
        </w:tc>
        <w:tc>
          <w:tcPr>
            <w:shd w:fill="auto" w:val="clear"/>
          </w:tcPr>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sz w:val="24"/>
                <w:szCs w:val="24"/>
              </w:rPr>
            </w:pPr>
            <w:r w:rsidDel="00000000" w:rsidR="00000000" w:rsidRPr="00000000">
              <w:rPr>
                <w:rFonts w:ascii="Times New Roman" w:cs="Times New Roman" w:eastAsia="Times New Roman" w:hAnsi="Times New Roman"/>
                <w:i w:val="1"/>
                <w:iCs w:val="1"/>
                <w:color w:val="000000"/>
                <w:sz w:val="24"/>
                <w:szCs w:val="24"/>
                <w:rtl w:val="0"/>
              </w:rPr>
              <w:t xml:space="preserve">Dinamica instituțională în contextul integrării</w:t>
            </w:r>
          </w:p>
        </w:tc>
        <w:tc>
          <w:tcPr>
            <w:shd w:fill="auto" w:val="clear"/>
          </w:tcPr>
          <w:p w:rsidR="00000000" w:rsidDel="00000000" w:rsidP="00000000" w:rsidRDefault="00000000" w:rsidRPr="00000000" w14:paraId="0000006B">
            <w:pPr>
              <w:spacing w:after="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CECO și Tratatele de la Roma (CEE și CEEA)</w:t>
            </w:r>
          </w:p>
        </w:tc>
        <w:tc>
          <w:tcPr>
            <w:shd w:fill="auto" w:val="clear"/>
          </w:tcPr>
          <w:p w:rsidR="00000000" w:rsidDel="00000000" w:rsidP="00000000" w:rsidRDefault="00000000" w:rsidRPr="00000000" w14:paraId="0000006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C=2h </w:t>
            </w:r>
          </w:p>
          <w:p w:rsidR="00000000" w:rsidDel="00000000" w:rsidP="00000000" w:rsidRDefault="00000000" w:rsidRPr="00000000" w14:paraId="0000006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SI=4h</w:t>
            </w:r>
          </w:p>
        </w:tc>
      </w:tr>
      <w:tr>
        <w:trPr>
          <w:cantSplit w:val="0"/>
          <w:tblHeader w:val="0"/>
        </w:trPr>
        <w:tc>
          <w:tcPr/>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[C4]</w:t>
            </w:r>
            <w:r w:rsidDel="00000000" w:rsidR="00000000" w:rsidRPr="00000000">
              <w:rPr>
                <w:rtl w:val="0"/>
              </w:rPr>
            </w:r>
          </w:p>
        </w:tc>
        <w:tc>
          <w:tcPr>
            <w:shd w:fill="auto" w:val="clear"/>
          </w:tcPr>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sz w:val="24"/>
                <w:szCs w:val="24"/>
              </w:rPr>
            </w:pPr>
            <w:r w:rsidDel="00000000" w:rsidR="00000000" w:rsidRPr="00000000">
              <w:rPr>
                <w:rFonts w:ascii="Times New Roman" w:cs="Times New Roman" w:eastAsia="Times New Roman" w:hAnsi="Times New Roman"/>
                <w:i w:val="1"/>
                <w:iCs w:val="1"/>
                <w:color w:val="000000"/>
                <w:sz w:val="24"/>
                <w:szCs w:val="24"/>
                <w:rtl w:val="0"/>
              </w:rPr>
              <w:t xml:space="preserve">Apariția UE și marile reforme</w:t>
            </w:r>
          </w:p>
        </w:tc>
        <w:tc>
          <w:tcPr>
            <w:shd w:fill="auto" w:val="clear"/>
          </w:tcPr>
          <w:p w:rsidR="00000000" w:rsidDel="00000000" w:rsidP="00000000" w:rsidRDefault="00000000" w:rsidRPr="00000000" w14:paraId="00000070">
            <w:pPr>
              <w:spacing w:after="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Actul Unic European</w:t>
            </w:r>
          </w:p>
          <w:p w:rsidR="00000000" w:rsidDel="00000000" w:rsidP="00000000" w:rsidRDefault="00000000" w:rsidRPr="00000000" w14:paraId="00000071">
            <w:pPr>
              <w:spacing w:after="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Tratatul de la Maastrict</w:t>
            </w:r>
          </w:p>
          <w:p w:rsidR="00000000" w:rsidDel="00000000" w:rsidP="00000000" w:rsidRDefault="00000000" w:rsidRPr="00000000" w14:paraId="00000072">
            <w:pPr>
              <w:spacing w:after="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Tratatul de la Nisa</w:t>
            </w:r>
          </w:p>
          <w:p w:rsidR="00000000" w:rsidDel="00000000" w:rsidP="00000000" w:rsidRDefault="00000000" w:rsidRPr="00000000" w14:paraId="00000073">
            <w:pPr>
              <w:spacing w:after="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Tratatul de la Amsterdam</w:t>
            </w:r>
          </w:p>
          <w:p w:rsidR="00000000" w:rsidDel="00000000" w:rsidP="00000000" w:rsidRDefault="00000000" w:rsidRPr="00000000" w14:paraId="00000074">
            <w:pPr>
              <w:spacing w:after="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Tratatul Constituțional</w:t>
            </w:r>
          </w:p>
        </w:tc>
        <w:tc>
          <w:tcPr>
            <w:shd w:fill="auto" w:val="clear"/>
          </w:tcPr>
          <w:p w:rsidR="00000000" w:rsidDel="00000000" w:rsidP="00000000" w:rsidRDefault="00000000" w:rsidRPr="00000000" w14:paraId="0000007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C=2h</w:t>
            </w:r>
          </w:p>
          <w:p w:rsidR="00000000" w:rsidDel="00000000" w:rsidP="00000000" w:rsidRDefault="00000000" w:rsidRPr="00000000" w14:paraId="0000007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SI=4h</w:t>
            </w:r>
          </w:p>
        </w:tc>
      </w:tr>
      <w:tr>
        <w:trPr>
          <w:cantSplit w:val="0"/>
          <w:tblHeader w:val="0"/>
        </w:trPr>
        <w:tc>
          <w:tcPr/>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[C5]</w:t>
            </w:r>
            <w:r w:rsidDel="00000000" w:rsidR="00000000" w:rsidRPr="00000000">
              <w:rPr>
                <w:rtl w:val="0"/>
              </w:rPr>
            </w:r>
          </w:p>
        </w:tc>
        <w:tc>
          <w:tcPr>
            <w:shd w:fill="auto" w:val="clear"/>
          </w:tcPr>
          <w:p w:rsidR="00000000" w:rsidDel="00000000" w:rsidP="00000000" w:rsidRDefault="00000000" w:rsidRPr="00000000" w14:paraId="00000078">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i w:val="1"/>
                <w:iCs w:val="1"/>
                <w:color w:val="000000"/>
                <w:sz w:val="24"/>
                <w:szCs w:val="24"/>
                <w:rtl w:val="0"/>
              </w:rPr>
              <w:t xml:space="preserve">Tratatul de la Lisabona</w:t>
            </w:r>
            <w:r w:rsidDel="00000000" w:rsidR="00000000" w:rsidRPr="00000000">
              <w:rPr>
                <w:rtl w:val="0"/>
              </w:rPr>
            </w:r>
          </w:p>
        </w:tc>
        <w:tc>
          <w:tcPr>
            <w:shd w:fill="auto" w:val="clear"/>
          </w:tcPr>
          <w:p w:rsidR="00000000" w:rsidDel="00000000" w:rsidP="00000000" w:rsidRDefault="00000000" w:rsidRPr="00000000" w14:paraId="00000079">
            <w:pPr>
              <w:spacing w:after="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Principalele modificări ale Tratatului de la Lisabona </w:t>
            </w:r>
          </w:p>
        </w:tc>
        <w:tc>
          <w:tcPr>
            <w:shd w:fill="auto" w:val="clear"/>
          </w:tcPr>
          <w:p w:rsidR="00000000" w:rsidDel="00000000" w:rsidP="00000000" w:rsidRDefault="00000000" w:rsidRPr="00000000" w14:paraId="0000007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C=2h </w:t>
            </w:r>
          </w:p>
          <w:p w:rsidR="00000000" w:rsidDel="00000000" w:rsidP="00000000" w:rsidRDefault="00000000" w:rsidRPr="00000000" w14:paraId="0000007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SI=4h</w:t>
            </w:r>
          </w:p>
        </w:tc>
      </w:tr>
      <w:tr>
        <w:trPr>
          <w:cantSplit w:val="0"/>
          <w:tblHeader w:val="0"/>
        </w:trPr>
        <w:tc>
          <w:tcPr/>
          <w:p w:rsidR="00000000" w:rsidDel="00000000" w:rsidP="00000000" w:rsidRDefault="00000000" w:rsidRPr="00000000" w14:paraId="0000007C">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[C6]</w:t>
            </w:r>
          </w:p>
        </w:tc>
        <w:tc>
          <w:tcPr>
            <w:shd w:fill="auto" w:val="clear"/>
          </w:tcPr>
          <w:p w:rsidR="00000000" w:rsidDel="00000000" w:rsidP="00000000" w:rsidRDefault="00000000" w:rsidRPr="00000000" w14:paraId="0000007D">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sz w:val="24"/>
                <w:szCs w:val="24"/>
              </w:rPr>
            </w:pPr>
            <w:r w:rsidDel="00000000" w:rsidR="00000000" w:rsidRPr="00000000">
              <w:rPr>
                <w:rFonts w:ascii="Times New Roman" w:cs="Times New Roman" w:eastAsia="Times New Roman" w:hAnsi="Times New Roman"/>
                <w:i w:val="1"/>
                <w:iCs w:val="1"/>
                <w:color w:val="000000"/>
                <w:sz w:val="24"/>
                <w:szCs w:val="24"/>
                <w:rtl w:val="0"/>
              </w:rPr>
              <w:t xml:space="preserve">Comisia Europeană</w:t>
            </w:r>
          </w:p>
        </w:tc>
        <w:tc>
          <w:tcPr>
            <w:shd w:fill="auto" w:val="clear"/>
          </w:tcPr>
          <w:p w:rsidR="00000000" w:rsidDel="00000000" w:rsidP="00000000" w:rsidRDefault="00000000" w:rsidRPr="00000000" w14:paraId="0000007E">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Comisia Europeană – Competențe și Structură</w:t>
            </w:r>
          </w:p>
        </w:tc>
        <w:tc>
          <w:tcPr>
            <w:shd w:fill="auto" w:val="clear"/>
          </w:tcPr>
          <w:p w:rsidR="00000000" w:rsidDel="00000000" w:rsidP="00000000" w:rsidRDefault="00000000" w:rsidRPr="00000000" w14:paraId="0000007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C=2h </w:t>
            </w:r>
          </w:p>
          <w:p w:rsidR="00000000" w:rsidDel="00000000" w:rsidP="00000000" w:rsidRDefault="00000000" w:rsidRPr="00000000" w14:paraId="0000008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SI=4h</w:t>
            </w:r>
          </w:p>
        </w:tc>
      </w:tr>
      <w:tr>
        <w:trPr>
          <w:cantSplit w:val="0"/>
          <w:trHeight w:val="887" w:hRule="atLeast"/>
          <w:tblHeader w:val="0"/>
        </w:trPr>
        <w:tc>
          <w:tcPr/>
          <w:p w:rsidR="00000000" w:rsidDel="00000000" w:rsidP="00000000" w:rsidRDefault="00000000" w:rsidRPr="00000000" w14:paraId="0000008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[C7]</w:t>
            </w:r>
          </w:p>
        </w:tc>
        <w:tc>
          <w:tcPr>
            <w:shd w:fill="auto" w:val="clear"/>
          </w:tcPr>
          <w:p w:rsidR="00000000" w:rsidDel="00000000" w:rsidP="00000000" w:rsidRDefault="00000000" w:rsidRPr="00000000" w14:paraId="00000082">
            <w:pPr>
              <w:spacing w:after="0" w:lineRule="auto"/>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Parlamentul European</w:t>
            </w:r>
          </w:p>
        </w:tc>
        <w:tc>
          <w:tcPr>
            <w:shd w:fill="auto" w:val="clear"/>
          </w:tcPr>
          <w:p w:rsidR="00000000" w:rsidDel="00000000" w:rsidP="00000000" w:rsidRDefault="00000000" w:rsidRPr="00000000" w14:paraId="00000083">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Parlamentul European -  Competențe și Structură</w:t>
            </w:r>
          </w:p>
        </w:tc>
        <w:tc>
          <w:tcPr>
            <w:shd w:fill="auto" w:val="clear"/>
          </w:tcPr>
          <w:p w:rsidR="00000000" w:rsidDel="00000000" w:rsidP="00000000" w:rsidRDefault="00000000" w:rsidRPr="00000000" w14:paraId="0000008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C=2h </w:t>
            </w:r>
          </w:p>
          <w:p w:rsidR="00000000" w:rsidDel="00000000" w:rsidP="00000000" w:rsidRDefault="00000000" w:rsidRPr="00000000" w14:paraId="0000008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SI=4h</w:t>
            </w:r>
          </w:p>
        </w:tc>
      </w:tr>
      <w:tr>
        <w:trPr>
          <w:cantSplit w:val="0"/>
          <w:trHeight w:val="887" w:hRule="atLeast"/>
          <w:tblHeader w:val="0"/>
        </w:trPr>
        <w:tc>
          <w:tcPr/>
          <w:p w:rsidR="00000000" w:rsidDel="00000000" w:rsidP="00000000" w:rsidRDefault="00000000" w:rsidRPr="00000000" w14:paraId="0000008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[C8]</w:t>
            </w:r>
          </w:p>
        </w:tc>
        <w:tc>
          <w:tcPr>
            <w:shd w:fill="auto" w:val="clear"/>
          </w:tcPr>
          <w:p w:rsidR="00000000" w:rsidDel="00000000" w:rsidP="00000000" w:rsidRDefault="00000000" w:rsidRPr="00000000" w14:paraId="00000087">
            <w:pPr>
              <w:spacing w:after="0" w:lineRule="auto"/>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Consiliul Uniunii Europene</w:t>
            </w:r>
          </w:p>
        </w:tc>
        <w:tc>
          <w:tcPr>
            <w:shd w:fill="auto" w:val="clear"/>
          </w:tcPr>
          <w:p w:rsidR="00000000" w:rsidDel="00000000" w:rsidP="00000000" w:rsidRDefault="00000000" w:rsidRPr="00000000" w14:paraId="00000088">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Consiliul UE -  Competențe și Structură</w:t>
            </w:r>
          </w:p>
        </w:tc>
        <w:tc>
          <w:tcPr>
            <w:shd w:fill="auto" w:val="clear"/>
          </w:tcPr>
          <w:p w:rsidR="00000000" w:rsidDel="00000000" w:rsidP="00000000" w:rsidRDefault="00000000" w:rsidRPr="00000000" w14:paraId="0000008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C=2h</w:t>
            </w:r>
          </w:p>
          <w:p w:rsidR="00000000" w:rsidDel="00000000" w:rsidP="00000000" w:rsidRDefault="00000000" w:rsidRPr="00000000" w14:paraId="0000008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SI=3h</w:t>
            </w:r>
          </w:p>
        </w:tc>
      </w:tr>
      <w:tr>
        <w:trPr>
          <w:cantSplit w:val="0"/>
          <w:tblHeader w:val="0"/>
        </w:trPr>
        <w:tc>
          <w:tcPr/>
          <w:p w:rsidR="00000000" w:rsidDel="00000000" w:rsidP="00000000" w:rsidRDefault="00000000" w:rsidRPr="00000000" w14:paraId="0000008B">
            <w:pPr>
              <w:tabs>
                <w:tab w:val="left" w:leader="none" w:pos="426"/>
              </w:tabs>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[C9]</w:t>
            </w:r>
          </w:p>
        </w:tc>
        <w:tc>
          <w:tcPr>
            <w:shd w:fill="auto" w:val="clear"/>
          </w:tcPr>
          <w:p w:rsidR="00000000" w:rsidDel="00000000" w:rsidP="00000000" w:rsidRDefault="00000000" w:rsidRPr="00000000" w14:paraId="0000008C">
            <w:pPr>
              <w:spacing w:after="0" w:lineRule="auto"/>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Consiliul European</w:t>
            </w:r>
          </w:p>
        </w:tc>
        <w:tc>
          <w:tcPr>
            <w:shd w:fill="auto" w:val="clear"/>
          </w:tcPr>
          <w:p w:rsidR="00000000" w:rsidDel="00000000" w:rsidP="00000000" w:rsidRDefault="00000000" w:rsidRPr="00000000" w14:paraId="0000008D">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Consiliul European -  Competențe și Structură</w:t>
            </w:r>
          </w:p>
        </w:tc>
        <w:tc>
          <w:tcPr>
            <w:shd w:fill="auto" w:val="clear"/>
          </w:tcPr>
          <w:p w:rsidR="00000000" w:rsidDel="00000000" w:rsidP="00000000" w:rsidRDefault="00000000" w:rsidRPr="00000000" w14:paraId="0000008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C=2h</w:t>
            </w:r>
          </w:p>
          <w:p w:rsidR="00000000" w:rsidDel="00000000" w:rsidP="00000000" w:rsidRDefault="00000000" w:rsidRPr="00000000" w14:paraId="0000008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SI=3h</w:t>
            </w:r>
          </w:p>
        </w:tc>
      </w:tr>
      <w:tr>
        <w:trPr>
          <w:cantSplit w:val="0"/>
          <w:tblHeader w:val="0"/>
        </w:trPr>
        <w:tc>
          <w:tcPr/>
          <w:p w:rsidR="00000000" w:rsidDel="00000000" w:rsidP="00000000" w:rsidRDefault="00000000" w:rsidRPr="00000000" w14:paraId="00000090">
            <w:pPr>
              <w:tabs>
                <w:tab w:val="left" w:leader="none" w:pos="426"/>
              </w:tabs>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[C10]</w:t>
            </w:r>
          </w:p>
        </w:tc>
        <w:tc>
          <w:tcPr>
            <w:shd w:fill="auto" w:val="clear"/>
          </w:tcPr>
          <w:p w:rsidR="00000000" w:rsidDel="00000000" w:rsidP="00000000" w:rsidRDefault="00000000" w:rsidRPr="00000000" w14:paraId="00000091">
            <w:pPr>
              <w:spacing w:after="0" w:lineRule="auto"/>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Procesul decizional european</w:t>
            </w:r>
          </w:p>
        </w:tc>
        <w:tc>
          <w:tcPr>
            <w:shd w:fill="auto" w:val="clear"/>
          </w:tcPr>
          <w:p w:rsidR="00000000" w:rsidDel="00000000" w:rsidP="00000000" w:rsidRDefault="00000000" w:rsidRPr="00000000" w14:paraId="00000092">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Codecizia</w:t>
            </w:r>
          </w:p>
        </w:tc>
        <w:tc>
          <w:tcPr>
            <w:shd w:fill="auto" w:val="clear"/>
          </w:tcPr>
          <w:p w:rsidR="00000000" w:rsidDel="00000000" w:rsidP="00000000" w:rsidRDefault="00000000" w:rsidRPr="00000000" w14:paraId="0000009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C=2h </w:t>
            </w:r>
          </w:p>
          <w:p w:rsidR="00000000" w:rsidDel="00000000" w:rsidP="00000000" w:rsidRDefault="00000000" w:rsidRPr="00000000" w14:paraId="0000009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SI=4h</w:t>
            </w:r>
          </w:p>
        </w:tc>
      </w:tr>
      <w:tr>
        <w:trPr>
          <w:cantSplit w:val="0"/>
          <w:tblHeader w:val="0"/>
        </w:trPr>
        <w:tc>
          <w:tcPr/>
          <w:p w:rsidR="00000000" w:rsidDel="00000000" w:rsidP="00000000" w:rsidRDefault="00000000" w:rsidRPr="00000000" w14:paraId="00000095">
            <w:pPr>
              <w:tabs>
                <w:tab w:val="left" w:leader="none" w:pos="42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[C11]</w:t>
            </w:r>
          </w:p>
        </w:tc>
        <w:tc>
          <w:tcPr>
            <w:shd w:fill="auto" w:val="clear"/>
          </w:tcPr>
          <w:p w:rsidR="00000000" w:rsidDel="00000000" w:rsidP="00000000" w:rsidRDefault="00000000" w:rsidRPr="00000000" w14:paraId="00000096">
            <w:pPr>
              <w:tabs>
                <w:tab w:val="left" w:leader="none" w:pos="426"/>
              </w:tabs>
              <w:spacing w:after="0" w:lineRule="auto"/>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Curtea de Justiţie a UE, Banca Centrală Europeană,  Curtea de Conturi, Comitetul Economic şi Social, Comitetul Regiunilor</w:t>
            </w:r>
          </w:p>
        </w:tc>
        <w:tc>
          <w:tcPr>
            <w:shd w:fill="auto" w:val="clear"/>
          </w:tcPr>
          <w:p w:rsidR="00000000" w:rsidDel="00000000" w:rsidP="00000000" w:rsidRDefault="00000000" w:rsidRPr="00000000" w14:paraId="00000097">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iCs w:val="1"/>
                <w:sz w:val="24"/>
                <w:szCs w:val="24"/>
                <w:rtl w:val="0"/>
              </w:rPr>
              <w:t xml:space="preserve">Curtea de Justiţie a UE, Banca Centrală Europeană,  Curtea de Conturi, Comitetul Economic şi Social, Comitetul Regiunilor</w:t>
            </w:r>
            <w:r w:rsidDel="00000000" w:rsidR="00000000" w:rsidRPr="00000000">
              <w:rPr>
                <w:rtl w:val="0"/>
              </w:rPr>
            </w:r>
          </w:p>
        </w:tc>
        <w:tc>
          <w:tcPr>
            <w:shd w:fill="auto" w:val="clear"/>
          </w:tcPr>
          <w:p w:rsidR="00000000" w:rsidDel="00000000" w:rsidP="00000000" w:rsidRDefault="00000000" w:rsidRPr="00000000" w14:paraId="0000009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C=2h</w:t>
            </w:r>
          </w:p>
          <w:p w:rsidR="00000000" w:rsidDel="00000000" w:rsidP="00000000" w:rsidRDefault="00000000" w:rsidRPr="00000000" w14:paraId="0000009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SI=4h</w:t>
            </w:r>
          </w:p>
        </w:tc>
      </w:tr>
      <w:tr>
        <w:trPr>
          <w:cantSplit w:val="0"/>
          <w:tblHeader w:val="0"/>
        </w:trPr>
        <w:tc>
          <w:tcPr/>
          <w:p w:rsidR="00000000" w:rsidDel="00000000" w:rsidP="00000000" w:rsidRDefault="00000000" w:rsidRPr="00000000" w14:paraId="0000009A">
            <w:pPr>
              <w:tabs>
                <w:tab w:val="left" w:leader="none" w:pos="42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[C12]</w:t>
            </w:r>
          </w:p>
        </w:tc>
        <w:tc>
          <w:tcPr>
            <w:shd w:fill="auto" w:val="clear"/>
          </w:tcPr>
          <w:p w:rsidR="00000000" w:rsidDel="00000000" w:rsidP="00000000" w:rsidRDefault="00000000" w:rsidRPr="00000000" w14:paraId="0000009B">
            <w:pPr>
              <w:tabs>
                <w:tab w:val="left" w:leader="none" w:pos="426"/>
              </w:tabs>
              <w:spacing w:after="0" w:lineRule="auto"/>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Teoriile Integrării I</w:t>
            </w:r>
          </w:p>
        </w:tc>
        <w:tc>
          <w:tcPr>
            <w:shd w:fill="auto" w:val="clear"/>
          </w:tcPr>
          <w:p w:rsidR="00000000" w:rsidDel="00000000" w:rsidP="00000000" w:rsidRDefault="00000000" w:rsidRPr="00000000" w14:paraId="0000009C">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Neo-funcționalismul</w:t>
            </w:r>
          </w:p>
          <w:p w:rsidR="00000000" w:rsidDel="00000000" w:rsidP="00000000" w:rsidRDefault="00000000" w:rsidRPr="00000000" w14:paraId="0000009D">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Interguvernamentalismul</w:t>
            </w:r>
          </w:p>
          <w:p w:rsidR="00000000" w:rsidDel="00000000" w:rsidP="00000000" w:rsidRDefault="00000000" w:rsidRPr="00000000" w14:paraId="0000009E">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Interguvernamentalismul Liberal</w:t>
            </w:r>
          </w:p>
        </w:tc>
        <w:tc>
          <w:tcPr>
            <w:shd w:fill="auto" w:val="clear"/>
          </w:tcPr>
          <w:p w:rsidR="00000000" w:rsidDel="00000000" w:rsidP="00000000" w:rsidRDefault="00000000" w:rsidRPr="00000000" w14:paraId="0000009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C=2h</w:t>
            </w:r>
          </w:p>
          <w:p w:rsidR="00000000" w:rsidDel="00000000" w:rsidP="00000000" w:rsidRDefault="00000000" w:rsidRPr="00000000" w14:paraId="000000A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SI=3h</w:t>
            </w:r>
          </w:p>
        </w:tc>
      </w:tr>
      <w:tr>
        <w:trPr>
          <w:cantSplit w:val="0"/>
          <w:tblHeader w:val="0"/>
        </w:trPr>
        <w:tc>
          <w:tcPr/>
          <w:p w:rsidR="00000000" w:rsidDel="00000000" w:rsidP="00000000" w:rsidRDefault="00000000" w:rsidRPr="00000000" w14:paraId="000000A1">
            <w:pPr>
              <w:tabs>
                <w:tab w:val="left" w:leader="none" w:pos="42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[C13]</w:t>
            </w:r>
          </w:p>
        </w:tc>
        <w:tc>
          <w:tcPr>
            <w:shd w:fill="auto" w:val="clear"/>
          </w:tcPr>
          <w:p w:rsidR="00000000" w:rsidDel="00000000" w:rsidP="00000000" w:rsidRDefault="00000000" w:rsidRPr="00000000" w14:paraId="000000A2">
            <w:pPr>
              <w:tabs>
                <w:tab w:val="left" w:leader="none" w:pos="426"/>
              </w:tabs>
              <w:spacing w:after="0" w:lineRule="auto"/>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Teoriile Integrării II</w:t>
            </w:r>
          </w:p>
        </w:tc>
        <w:tc>
          <w:tcPr>
            <w:shd w:fill="auto" w:val="clear"/>
          </w:tcPr>
          <w:p w:rsidR="00000000" w:rsidDel="00000000" w:rsidP="00000000" w:rsidRDefault="00000000" w:rsidRPr="00000000" w14:paraId="000000A3">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Prezentarea noilor teorii ale integrării – teoriile de rang mediu</w:t>
            </w:r>
          </w:p>
        </w:tc>
        <w:tc>
          <w:tcPr>
            <w:shd w:fill="auto" w:val="clear"/>
          </w:tcPr>
          <w:p w:rsidR="00000000" w:rsidDel="00000000" w:rsidP="00000000" w:rsidRDefault="00000000" w:rsidRPr="00000000" w14:paraId="000000A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C=2h</w:t>
            </w:r>
          </w:p>
          <w:p w:rsidR="00000000" w:rsidDel="00000000" w:rsidP="00000000" w:rsidRDefault="00000000" w:rsidRPr="00000000" w14:paraId="000000A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SI=3h</w:t>
            </w:r>
          </w:p>
        </w:tc>
      </w:tr>
      <w:tr>
        <w:trPr>
          <w:cantSplit w:val="0"/>
          <w:tblHeader w:val="0"/>
        </w:trPr>
        <w:tc>
          <w:tcPr/>
          <w:p w:rsidR="00000000" w:rsidDel="00000000" w:rsidP="00000000" w:rsidRDefault="00000000" w:rsidRPr="00000000" w14:paraId="000000A6">
            <w:pPr>
              <w:tabs>
                <w:tab w:val="left" w:leader="none" w:pos="42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[C14]</w:t>
            </w:r>
          </w:p>
        </w:tc>
        <w:tc>
          <w:tcPr>
            <w:shd w:fill="auto" w:val="clear"/>
          </w:tcPr>
          <w:p w:rsidR="00000000" w:rsidDel="00000000" w:rsidP="00000000" w:rsidRDefault="00000000" w:rsidRPr="00000000" w14:paraId="000000A7">
            <w:pPr>
              <w:tabs>
                <w:tab w:val="left" w:leader="none" w:pos="426"/>
              </w:tabs>
              <w:spacing w:after="0" w:lineRule="auto"/>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Recapitulare</w:t>
            </w:r>
          </w:p>
        </w:tc>
        <w:tc>
          <w:tcPr>
            <w:shd w:fill="auto" w:val="clear"/>
          </w:tcPr>
          <w:p w:rsidR="00000000" w:rsidDel="00000000" w:rsidP="00000000" w:rsidRDefault="00000000" w:rsidRPr="00000000" w14:paraId="000000A8">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Pregătirea examenului final - Recapitulare</w:t>
            </w:r>
          </w:p>
        </w:tc>
        <w:tc>
          <w:tcPr>
            <w:shd w:fill="auto" w:val="clear"/>
          </w:tcPr>
          <w:p w:rsidR="00000000" w:rsidDel="00000000" w:rsidP="00000000" w:rsidRDefault="00000000" w:rsidRPr="00000000" w14:paraId="000000A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C=2h</w:t>
            </w:r>
          </w:p>
          <w:p w:rsidR="00000000" w:rsidDel="00000000" w:rsidP="00000000" w:rsidRDefault="00000000" w:rsidRPr="00000000" w14:paraId="000000A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SI=3h</w:t>
            </w:r>
          </w:p>
        </w:tc>
      </w:tr>
      <w:tr>
        <w:trPr>
          <w:cantSplit w:val="0"/>
          <w:trHeight w:val="376" w:hRule="atLeast"/>
          <w:tblHeader w:val="0"/>
        </w:trPr>
        <w:tc>
          <w:tcPr/>
          <w:p w:rsidR="00000000" w:rsidDel="00000000" w:rsidP="00000000" w:rsidRDefault="00000000" w:rsidRPr="00000000" w14:paraId="000000AB">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AC">
            <w:pPr>
              <w:spacing w:after="0" w:lineRule="auto"/>
              <w:rPr>
                <w:rFonts w:ascii="Times New Roman" w:cs="Times New Roman" w:eastAsia="Times New Roman" w:hAnsi="Times New Roman"/>
                <w:b w:val="1"/>
                <w:bCs w:val="1"/>
                <w:sz w:val="24"/>
                <w:szCs w:val="24"/>
              </w:rPr>
            </w:pPr>
            <w:r w:rsidDel="00000000" w:rsidR="00000000" w:rsidRPr="00000000">
              <w:rPr>
                <w:rtl w:val="0"/>
              </w:rPr>
            </w:r>
          </w:p>
        </w:tc>
        <w:tc>
          <w:tcPr>
            <w:shd w:fill="auto" w:val="clear"/>
          </w:tcPr>
          <w:p w:rsidR="00000000" w:rsidDel="00000000" w:rsidP="00000000" w:rsidRDefault="00000000" w:rsidRPr="00000000" w14:paraId="000000AD">
            <w:pPr>
              <w:spacing w:after="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Total ore</w:t>
            </w:r>
          </w:p>
        </w:tc>
        <w:tc>
          <w:tcPr>
            <w:shd w:fill="auto" w:val="clear"/>
          </w:tcPr>
          <w:p w:rsidR="00000000" w:rsidDel="00000000" w:rsidP="00000000" w:rsidRDefault="00000000" w:rsidRPr="00000000" w14:paraId="000000A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C=28, </w:t>
            </w:r>
          </w:p>
          <w:p w:rsidR="00000000" w:rsidDel="00000000" w:rsidP="00000000" w:rsidRDefault="00000000" w:rsidRPr="00000000" w14:paraId="000000A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SI=47</w:t>
            </w:r>
          </w:p>
        </w:tc>
      </w:tr>
    </w:tbl>
    <w:p w:rsidR="00000000" w:rsidDel="00000000" w:rsidP="00000000" w:rsidRDefault="00000000" w:rsidRPr="00000000" w14:paraId="000000B0">
      <w:pPr>
        <w:spacing w:line="360" w:lineRule="auto"/>
        <w:rPr>
          <w:rFonts w:ascii="Times New Roman" w:cs="Times New Roman" w:eastAsia="Times New Roman" w:hAnsi="Times New Roman"/>
          <w:b w:val="1"/>
          <w:bCs w:val="1"/>
          <w:i w:val="1"/>
          <w:iCs w:val="1"/>
          <w:sz w:val="24"/>
          <w:szCs w:val="24"/>
        </w:rPr>
      </w:pPr>
      <w:r w:rsidDel="00000000" w:rsidR="00000000" w:rsidRPr="00000000">
        <w:rPr>
          <w:rtl w:val="0"/>
        </w:rPr>
      </w:r>
    </w:p>
    <w:p w:rsidR="00000000" w:rsidDel="00000000" w:rsidP="00000000" w:rsidRDefault="00000000" w:rsidRPr="00000000" w14:paraId="000000B1">
      <w:pPr>
        <w:numPr>
          <w:ilvl w:val="0"/>
          <w:numId w:val="2"/>
        </w:numPr>
        <w:spacing w:after="0" w:lineRule="auto"/>
        <w:ind w:left="400" w:hanging="360"/>
        <w:rPr>
          <w:rFonts w:ascii="Times New Roman" w:cs="Times New Roman" w:eastAsia="Times New Roman" w:hAnsi="Times New Roman"/>
          <w:b w:val="1"/>
          <w:bCs w:val="1"/>
          <w:i w:val="1"/>
          <w:iCs w:val="1"/>
          <w:sz w:val="24"/>
          <w:szCs w:val="24"/>
        </w:rPr>
      </w:pPr>
      <w:r w:rsidDel="00000000" w:rsidR="00000000" w:rsidRPr="00000000">
        <w:rPr>
          <w:rFonts w:ascii="Times New Roman" w:cs="Times New Roman" w:eastAsia="Times New Roman" w:hAnsi="Times New Roman"/>
          <w:b w:val="1"/>
          <w:bCs w:val="1"/>
          <w:i w:val="1"/>
          <w:iCs w:val="1"/>
          <w:sz w:val="24"/>
          <w:szCs w:val="24"/>
          <w:rtl w:val="0"/>
        </w:rPr>
        <w:t xml:space="preserve">Aplicaţii*</w:t>
      </w:r>
    </w:p>
    <w:tbl>
      <w:tblPr>
        <w:tblStyle w:val="Table5"/>
        <w:tblW w:w="977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55"/>
        <w:gridCol w:w="3270"/>
        <w:gridCol w:w="4469"/>
        <w:gridCol w:w="882"/>
        <w:tblGridChange w:id="0">
          <w:tblGrid>
            <w:gridCol w:w="1155"/>
            <w:gridCol w:w="3270"/>
            <w:gridCol w:w="4469"/>
            <w:gridCol w:w="882"/>
          </w:tblGrid>
        </w:tblGridChange>
      </w:tblGrid>
      <w:tr>
        <w:trPr>
          <w:cantSplit w:val="0"/>
          <w:tblHeader w:val="0"/>
        </w:trPr>
        <w:tc>
          <w:tcPr/>
          <w:p w:rsidR="00000000" w:rsidDel="00000000" w:rsidP="00000000" w:rsidRDefault="00000000" w:rsidRPr="00000000" w14:paraId="000000B2">
            <w:pPr>
              <w:spacing w:after="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Seminar</w:t>
            </w:r>
          </w:p>
        </w:tc>
        <w:tc>
          <w:tcPr>
            <w:shd w:fill="auto" w:val="clear"/>
          </w:tcPr>
          <w:p w:rsidR="00000000" w:rsidDel="00000000" w:rsidP="00000000" w:rsidRDefault="00000000" w:rsidRPr="00000000" w14:paraId="000000B3">
            <w:pPr>
              <w:spacing w:after="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Denumire </w:t>
            </w:r>
          </w:p>
        </w:tc>
        <w:tc>
          <w:tcPr>
            <w:shd w:fill="auto" w:val="clear"/>
          </w:tcPr>
          <w:p w:rsidR="00000000" w:rsidDel="00000000" w:rsidP="00000000" w:rsidRDefault="00000000" w:rsidRPr="00000000" w14:paraId="000000B4">
            <w:pPr>
              <w:spacing w:after="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Conținuturi</w:t>
            </w:r>
          </w:p>
        </w:tc>
        <w:tc>
          <w:tcPr>
            <w:shd w:fill="auto" w:val="clear"/>
          </w:tcPr>
          <w:p w:rsidR="00000000" w:rsidDel="00000000" w:rsidP="00000000" w:rsidRDefault="00000000" w:rsidRPr="00000000" w14:paraId="000000B5">
            <w:pPr>
              <w:spacing w:after="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Nr. ore</w:t>
            </w:r>
          </w:p>
        </w:tc>
      </w:tr>
      <w:tr>
        <w:trPr>
          <w:cantSplit w:val="0"/>
          <w:trHeight w:val="700" w:hRule="atLeast"/>
          <w:tblHeader w:val="0"/>
        </w:trPr>
        <w:tc>
          <w:tcPr/>
          <w:p w:rsidR="00000000" w:rsidDel="00000000" w:rsidP="00000000" w:rsidRDefault="00000000" w:rsidRPr="00000000" w14:paraId="000000B6">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[S1]</w:t>
            </w:r>
          </w:p>
        </w:tc>
        <w:tc>
          <w:tcPr>
            <w:shd w:fill="auto" w:val="clear"/>
          </w:tcPr>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Seminar introductiv</w:t>
            </w:r>
          </w:p>
        </w:tc>
        <w:tc>
          <w:tcPr>
            <w:shd w:fill="auto" w:val="clear"/>
          </w:tcPr>
          <w:p w:rsidR="00000000" w:rsidDel="00000000" w:rsidP="00000000" w:rsidRDefault="00000000" w:rsidRPr="00000000" w14:paraId="000000B8">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Prezentarea regulilor de seminar, a textelor de discutat si a temelor acestora.</w:t>
            </w:r>
          </w:p>
        </w:tc>
        <w:tc>
          <w:tcPr>
            <w:shd w:fill="auto" w:val="clear"/>
          </w:tcPr>
          <w:p w:rsidR="00000000" w:rsidDel="00000000" w:rsidP="00000000" w:rsidRDefault="00000000" w:rsidRPr="00000000" w14:paraId="000000B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S=2h</w:t>
            </w:r>
          </w:p>
          <w:p w:rsidR="00000000" w:rsidDel="00000000" w:rsidP="00000000" w:rsidRDefault="00000000" w:rsidRPr="00000000" w14:paraId="000000B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SI=0</w:t>
            </w:r>
          </w:p>
        </w:tc>
      </w:tr>
      <w:tr>
        <w:trPr>
          <w:cantSplit w:val="0"/>
          <w:tblHeader w:val="0"/>
        </w:trPr>
        <w:tc>
          <w:tcPr/>
          <w:p w:rsidR="00000000" w:rsidDel="00000000" w:rsidP="00000000" w:rsidRDefault="00000000" w:rsidRPr="00000000" w14:paraId="000000BB">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[S2]</w:t>
            </w:r>
            <w:r w:rsidDel="00000000" w:rsidR="00000000" w:rsidRPr="00000000">
              <w:rPr>
                <w:rtl w:val="0"/>
              </w:rPr>
            </w:r>
          </w:p>
        </w:tc>
        <w:tc>
          <w:tcPr>
            <w:shd w:fill="auto" w:val="clear"/>
          </w:tcPr>
          <w:p w:rsidR="00000000" w:rsidDel="00000000" w:rsidP="00000000" w:rsidRDefault="00000000" w:rsidRPr="00000000" w14:paraId="000000BC">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i w:val="1"/>
                <w:iCs w:val="1"/>
                <w:color w:val="000000"/>
                <w:sz w:val="24"/>
                <w:szCs w:val="24"/>
                <w:rtl w:val="0"/>
              </w:rPr>
              <w:t xml:space="preserve">Originile si evoluția Uniunii Europene</w:t>
            </w:r>
            <w:r w:rsidDel="00000000" w:rsidR="00000000" w:rsidRPr="00000000">
              <w:rPr>
                <w:rtl w:val="0"/>
              </w:rPr>
            </w:r>
          </w:p>
        </w:tc>
        <w:tc>
          <w:tcPr>
            <w:shd w:fill="auto" w:val="clear"/>
          </w:tcPr>
          <w:p w:rsidR="00000000" w:rsidDel="00000000" w:rsidP="00000000" w:rsidRDefault="00000000" w:rsidRPr="00000000" w14:paraId="000000BD">
            <w:pPr>
              <w:spacing w:after="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Planul Marshall</w:t>
            </w:r>
          </w:p>
          <w:p w:rsidR="00000000" w:rsidDel="00000000" w:rsidP="00000000" w:rsidRDefault="00000000" w:rsidRPr="00000000" w14:paraId="000000BE">
            <w:pPr>
              <w:spacing w:after="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Criza scaunului gol</w:t>
            </w:r>
          </w:p>
          <w:p w:rsidR="00000000" w:rsidDel="00000000" w:rsidP="00000000" w:rsidRDefault="00000000" w:rsidRPr="00000000" w14:paraId="000000BF">
            <w:pPr>
              <w:spacing w:after="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Atitudinea Marii Britanii</w:t>
            </w:r>
          </w:p>
          <w:p w:rsidR="00000000" w:rsidDel="00000000" w:rsidP="00000000" w:rsidRDefault="00000000" w:rsidRPr="00000000" w14:paraId="000000C0">
            <w:pPr>
              <w:spacing w:after="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Europa șantierelor</w:t>
            </w:r>
          </w:p>
        </w:tc>
        <w:tc>
          <w:tcPr>
            <w:shd w:fill="auto" w:val="clear"/>
          </w:tcPr>
          <w:p w:rsidR="00000000" w:rsidDel="00000000" w:rsidP="00000000" w:rsidRDefault="00000000" w:rsidRPr="00000000" w14:paraId="000000C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S=2h </w:t>
            </w:r>
          </w:p>
          <w:p w:rsidR="00000000" w:rsidDel="00000000" w:rsidP="00000000" w:rsidRDefault="00000000" w:rsidRPr="00000000" w14:paraId="000000C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SI=3h</w:t>
            </w:r>
          </w:p>
        </w:tc>
      </w:tr>
      <w:tr>
        <w:trPr>
          <w:cantSplit w:val="0"/>
          <w:tblHeader w:val="0"/>
        </w:trPr>
        <w:tc>
          <w:tcPr/>
          <w:p w:rsidR="00000000" w:rsidDel="00000000" w:rsidP="00000000" w:rsidRDefault="00000000" w:rsidRPr="00000000" w14:paraId="000000C3">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[S3]</w:t>
            </w:r>
            <w:r w:rsidDel="00000000" w:rsidR="00000000" w:rsidRPr="00000000">
              <w:rPr>
                <w:rtl w:val="0"/>
              </w:rPr>
            </w:r>
          </w:p>
        </w:tc>
        <w:tc>
          <w:tcPr>
            <w:shd w:fill="auto" w:val="clear"/>
          </w:tcPr>
          <w:p w:rsidR="00000000" w:rsidDel="00000000" w:rsidP="00000000" w:rsidRDefault="00000000" w:rsidRPr="00000000" w14:paraId="000000C4">
            <w:pPr>
              <w:spacing w:after="0" w:lineRule="auto"/>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Dinamica instituțională în contextul integrării, apariția UE și marile reforme</w:t>
            </w:r>
          </w:p>
        </w:tc>
        <w:tc>
          <w:tcPr>
            <w:shd w:fill="auto" w:val="clear"/>
          </w:tcPr>
          <w:p w:rsidR="00000000" w:rsidDel="00000000" w:rsidP="00000000" w:rsidRDefault="00000000" w:rsidRPr="00000000" w14:paraId="000000C5">
            <w:pPr>
              <w:spacing w:after="8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CECO</w:t>
            </w:r>
          </w:p>
          <w:p w:rsidR="00000000" w:rsidDel="00000000" w:rsidP="00000000" w:rsidRDefault="00000000" w:rsidRPr="00000000" w14:paraId="000000C6">
            <w:pPr>
              <w:spacing w:after="8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Tratatele de la Roma - CEE și CEEA</w:t>
            </w:r>
          </w:p>
          <w:p w:rsidR="00000000" w:rsidDel="00000000" w:rsidP="00000000" w:rsidRDefault="00000000" w:rsidRPr="00000000" w14:paraId="000000C7">
            <w:pPr>
              <w:spacing w:after="8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Actul Unic European</w:t>
            </w:r>
          </w:p>
          <w:p w:rsidR="00000000" w:rsidDel="00000000" w:rsidP="00000000" w:rsidRDefault="00000000" w:rsidRPr="00000000" w14:paraId="000000C8">
            <w:pPr>
              <w:spacing w:after="8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Tratatul de la Maastricht, Tratatul de la Amsterdam, Tratatul de la Nisa, Tratatul Constituțional</w:t>
            </w:r>
          </w:p>
        </w:tc>
        <w:tc>
          <w:tcPr>
            <w:shd w:fill="auto" w:val="clear"/>
          </w:tcPr>
          <w:p w:rsidR="00000000" w:rsidDel="00000000" w:rsidP="00000000" w:rsidRDefault="00000000" w:rsidRPr="00000000" w14:paraId="000000C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S=2h </w:t>
            </w:r>
          </w:p>
          <w:p w:rsidR="00000000" w:rsidDel="00000000" w:rsidP="00000000" w:rsidRDefault="00000000" w:rsidRPr="00000000" w14:paraId="000000C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SI=4h</w:t>
            </w:r>
          </w:p>
        </w:tc>
      </w:tr>
      <w:tr>
        <w:trPr>
          <w:cantSplit w:val="0"/>
          <w:tblHeader w:val="0"/>
        </w:trPr>
        <w:tc>
          <w:tcPr/>
          <w:p w:rsidR="00000000" w:rsidDel="00000000" w:rsidP="00000000" w:rsidRDefault="00000000" w:rsidRPr="00000000" w14:paraId="000000CB">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[S4]</w:t>
            </w:r>
            <w:r w:rsidDel="00000000" w:rsidR="00000000" w:rsidRPr="00000000">
              <w:rPr>
                <w:rtl w:val="0"/>
              </w:rPr>
            </w:r>
          </w:p>
        </w:tc>
        <w:tc>
          <w:tcPr>
            <w:shd w:fill="auto" w:val="clear"/>
          </w:tcPr>
          <w:p w:rsidR="00000000" w:rsidDel="00000000" w:rsidP="00000000" w:rsidRDefault="00000000" w:rsidRPr="00000000" w14:paraId="000000CC">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sz w:val="24"/>
                <w:szCs w:val="24"/>
              </w:rPr>
            </w:pPr>
            <w:r w:rsidDel="00000000" w:rsidR="00000000" w:rsidRPr="00000000">
              <w:rPr>
                <w:rFonts w:ascii="Times New Roman" w:cs="Times New Roman" w:eastAsia="Times New Roman" w:hAnsi="Times New Roman"/>
                <w:i w:val="1"/>
                <w:iCs w:val="1"/>
                <w:color w:val="000000"/>
                <w:sz w:val="24"/>
                <w:szCs w:val="24"/>
                <w:rtl w:val="0"/>
              </w:rPr>
              <w:t xml:space="preserve">Tratatul de la Lisabona</w:t>
            </w:r>
          </w:p>
        </w:tc>
        <w:tc>
          <w:tcPr>
            <w:shd w:fill="auto" w:val="clear"/>
          </w:tcPr>
          <w:p w:rsidR="00000000" w:rsidDel="00000000" w:rsidP="00000000" w:rsidRDefault="00000000" w:rsidRPr="00000000" w14:paraId="000000CD">
            <w:pPr>
              <w:spacing w:after="8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Schimbările produse în urma intrării în vigoare a Tratatului de la Lisabona</w:t>
            </w:r>
          </w:p>
        </w:tc>
        <w:tc>
          <w:tcPr>
            <w:shd w:fill="auto" w:val="clear"/>
          </w:tcPr>
          <w:p w:rsidR="00000000" w:rsidDel="00000000" w:rsidP="00000000" w:rsidRDefault="00000000" w:rsidRPr="00000000" w14:paraId="000000C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S=2h</w:t>
            </w:r>
          </w:p>
          <w:p w:rsidR="00000000" w:rsidDel="00000000" w:rsidP="00000000" w:rsidRDefault="00000000" w:rsidRPr="00000000" w14:paraId="000000C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SI=4h</w:t>
            </w:r>
          </w:p>
        </w:tc>
      </w:tr>
      <w:tr>
        <w:trPr>
          <w:cantSplit w:val="0"/>
          <w:tblHeader w:val="0"/>
        </w:trPr>
        <w:tc>
          <w:tcPr/>
          <w:p w:rsidR="00000000" w:rsidDel="00000000" w:rsidP="00000000" w:rsidRDefault="00000000" w:rsidRPr="00000000" w14:paraId="000000D0">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[S5]</w:t>
            </w:r>
            <w:r w:rsidDel="00000000" w:rsidR="00000000" w:rsidRPr="00000000">
              <w:rPr>
                <w:rtl w:val="0"/>
              </w:rPr>
            </w:r>
          </w:p>
        </w:tc>
        <w:tc>
          <w:tcPr>
            <w:shd w:fill="auto" w:val="clear"/>
          </w:tcPr>
          <w:p w:rsidR="00000000" w:rsidDel="00000000" w:rsidP="00000000" w:rsidRDefault="00000000" w:rsidRPr="00000000" w14:paraId="000000D1">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i w:val="1"/>
                <w:iCs w:val="1"/>
                <w:color w:val="000000"/>
                <w:sz w:val="24"/>
                <w:szCs w:val="24"/>
                <w:rtl w:val="0"/>
              </w:rPr>
              <w:t xml:space="preserve">TEST 1</w:t>
            </w:r>
            <w:r w:rsidDel="00000000" w:rsidR="00000000" w:rsidRPr="00000000">
              <w:rPr>
                <w:rtl w:val="0"/>
              </w:rPr>
            </w:r>
          </w:p>
        </w:tc>
        <w:tc>
          <w:tcPr>
            <w:shd w:fill="auto" w:val="clear"/>
          </w:tcPr>
          <w:p w:rsidR="00000000" w:rsidDel="00000000" w:rsidP="00000000" w:rsidRDefault="00000000" w:rsidRPr="00000000" w14:paraId="000000D2">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t>
            </w:r>
          </w:p>
        </w:tc>
        <w:tc>
          <w:tcPr>
            <w:shd w:fill="auto" w:val="clear"/>
          </w:tcPr>
          <w:p w:rsidR="00000000" w:rsidDel="00000000" w:rsidP="00000000" w:rsidRDefault="00000000" w:rsidRPr="00000000" w14:paraId="000000D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S=2h </w:t>
            </w:r>
          </w:p>
          <w:p w:rsidR="00000000" w:rsidDel="00000000" w:rsidP="00000000" w:rsidRDefault="00000000" w:rsidRPr="00000000" w14:paraId="000000D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SI=4h</w:t>
            </w:r>
          </w:p>
        </w:tc>
      </w:tr>
      <w:tr>
        <w:trPr>
          <w:cantSplit w:val="0"/>
          <w:tblHeader w:val="0"/>
        </w:trPr>
        <w:tc>
          <w:tcPr/>
          <w:p w:rsidR="00000000" w:rsidDel="00000000" w:rsidP="00000000" w:rsidRDefault="00000000" w:rsidRPr="00000000" w14:paraId="000000D5">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[S6]</w:t>
            </w:r>
          </w:p>
        </w:tc>
        <w:tc>
          <w:tcPr>
            <w:shd w:fill="auto" w:val="clear"/>
          </w:tcPr>
          <w:p w:rsidR="00000000" w:rsidDel="00000000" w:rsidP="00000000" w:rsidRDefault="00000000" w:rsidRPr="00000000" w14:paraId="000000D6">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sz w:val="24"/>
                <w:szCs w:val="24"/>
              </w:rPr>
            </w:pPr>
            <w:r w:rsidDel="00000000" w:rsidR="00000000" w:rsidRPr="00000000">
              <w:rPr>
                <w:rFonts w:ascii="Times New Roman" w:cs="Times New Roman" w:eastAsia="Times New Roman" w:hAnsi="Times New Roman"/>
                <w:i w:val="1"/>
                <w:iCs w:val="1"/>
                <w:color w:val="000000"/>
                <w:sz w:val="24"/>
                <w:szCs w:val="24"/>
                <w:rtl w:val="0"/>
              </w:rPr>
              <w:t xml:space="preserve">Comisia Europeană</w:t>
            </w:r>
          </w:p>
        </w:tc>
        <w:tc>
          <w:tcPr>
            <w:shd w:fill="auto" w:val="clear"/>
          </w:tcPr>
          <w:p w:rsidR="00000000" w:rsidDel="00000000" w:rsidP="00000000" w:rsidRDefault="00000000" w:rsidRPr="00000000" w14:paraId="000000D7">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Seminarul vizează analizarea unui text care descrie structura și competențele Comisiei</w:t>
            </w:r>
          </w:p>
        </w:tc>
        <w:tc>
          <w:tcPr>
            <w:shd w:fill="auto" w:val="clear"/>
          </w:tcPr>
          <w:p w:rsidR="00000000" w:rsidDel="00000000" w:rsidP="00000000" w:rsidRDefault="00000000" w:rsidRPr="00000000" w14:paraId="000000D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S=2h </w:t>
            </w:r>
          </w:p>
          <w:p w:rsidR="00000000" w:rsidDel="00000000" w:rsidP="00000000" w:rsidRDefault="00000000" w:rsidRPr="00000000" w14:paraId="000000D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SI=4h</w:t>
            </w:r>
          </w:p>
        </w:tc>
      </w:tr>
      <w:tr>
        <w:trPr>
          <w:cantSplit w:val="0"/>
          <w:trHeight w:val="887" w:hRule="atLeast"/>
          <w:tblHeader w:val="0"/>
        </w:trPr>
        <w:tc>
          <w:tcPr/>
          <w:p w:rsidR="00000000" w:rsidDel="00000000" w:rsidP="00000000" w:rsidRDefault="00000000" w:rsidRPr="00000000" w14:paraId="000000D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[S7]</w:t>
            </w:r>
          </w:p>
        </w:tc>
        <w:tc>
          <w:tcPr>
            <w:shd w:fill="auto" w:val="clear"/>
          </w:tcPr>
          <w:p w:rsidR="00000000" w:rsidDel="00000000" w:rsidP="00000000" w:rsidRDefault="00000000" w:rsidRPr="00000000" w14:paraId="000000DB">
            <w:pPr>
              <w:spacing w:after="0" w:lineRule="auto"/>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Parlamentul European</w:t>
            </w:r>
          </w:p>
        </w:tc>
        <w:tc>
          <w:tcPr>
            <w:shd w:fill="auto" w:val="clear"/>
          </w:tcPr>
          <w:p w:rsidR="00000000" w:rsidDel="00000000" w:rsidP="00000000" w:rsidRDefault="00000000" w:rsidRPr="00000000" w14:paraId="000000DC">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Seminarul vizează parcurgerea unui text care privește structura și competențele Parlamentului European</w:t>
            </w:r>
          </w:p>
        </w:tc>
        <w:tc>
          <w:tcPr>
            <w:shd w:fill="auto" w:val="clear"/>
          </w:tcPr>
          <w:p w:rsidR="00000000" w:rsidDel="00000000" w:rsidP="00000000" w:rsidRDefault="00000000" w:rsidRPr="00000000" w14:paraId="000000D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S=2h</w:t>
            </w:r>
          </w:p>
          <w:p w:rsidR="00000000" w:rsidDel="00000000" w:rsidP="00000000" w:rsidRDefault="00000000" w:rsidRPr="00000000" w14:paraId="000000D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SI=4h</w:t>
            </w:r>
          </w:p>
        </w:tc>
      </w:tr>
      <w:tr>
        <w:trPr>
          <w:cantSplit w:val="0"/>
          <w:trHeight w:val="804" w:hRule="atLeast"/>
          <w:tblHeader w:val="0"/>
        </w:trPr>
        <w:tc>
          <w:tcPr/>
          <w:p w:rsidR="00000000" w:rsidDel="00000000" w:rsidP="00000000" w:rsidRDefault="00000000" w:rsidRPr="00000000" w14:paraId="000000DF">
            <w:pPr>
              <w:tabs>
                <w:tab w:val="left" w:leader="none" w:pos="426"/>
              </w:tabs>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[S8]</w:t>
            </w:r>
          </w:p>
        </w:tc>
        <w:tc>
          <w:tcPr>
            <w:shd w:fill="auto" w:val="clear"/>
          </w:tcPr>
          <w:p w:rsidR="00000000" w:rsidDel="00000000" w:rsidP="00000000" w:rsidRDefault="00000000" w:rsidRPr="00000000" w14:paraId="000000E0">
            <w:pPr>
              <w:tabs>
                <w:tab w:val="left" w:leader="none" w:pos="426"/>
              </w:tabs>
              <w:spacing w:after="0" w:lineRule="auto"/>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Consiliul Uniunii Europene şi Consiliul European</w:t>
            </w:r>
          </w:p>
        </w:tc>
        <w:tc>
          <w:tcPr>
            <w:shd w:fill="auto" w:val="clear"/>
          </w:tcPr>
          <w:p w:rsidR="00000000" w:rsidDel="00000000" w:rsidP="00000000" w:rsidRDefault="00000000" w:rsidRPr="00000000" w14:paraId="000000E1">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Seminarul vizează parcurgerea unui text care privește structura și competențele</w:t>
            </w:r>
            <w:r w:rsidDel="00000000" w:rsidR="00000000" w:rsidRPr="00000000">
              <w:rPr>
                <w:rtl w:val="0"/>
              </w:rPr>
              <w:t xml:space="preserve"> </w:t>
            </w:r>
            <w:r w:rsidDel="00000000" w:rsidR="00000000" w:rsidRPr="00000000">
              <w:rPr>
                <w:rFonts w:ascii="Times New Roman" w:cs="Times New Roman" w:eastAsia="Times New Roman" w:hAnsi="Times New Roman"/>
                <w:sz w:val="24"/>
                <w:szCs w:val="24"/>
                <w:rtl w:val="0"/>
              </w:rPr>
              <w:t xml:space="preserve">Consiliul Uniunii Europene şi Consiliul European</w:t>
            </w:r>
          </w:p>
        </w:tc>
        <w:tc>
          <w:tcPr>
            <w:shd w:fill="auto" w:val="clear"/>
          </w:tcPr>
          <w:p w:rsidR="00000000" w:rsidDel="00000000" w:rsidP="00000000" w:rsidRDefault="00000000" w:rsidRPr="00000000" w14:paraId="000000E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S=2h</w:t>
            </w:r>
          </w:p>
          <w:p w:rsidR="00000000" w:rsidDel="00000000" w:rsidP="00000000" w:rsidRDefault="00000000" w:rsidRPr="00000000" w14:paraId="000000E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SI=4h</w:t>
            </w:r>
          </w:p>
        </w:tc>
      </w:tr>
      <w:tr>
        <w:trPr>
          <w:cantSplit w:val="0"/>
          <w:tblHeader w:val="0"/>
        </w:trPr>
        <w:tc>
          <w:tcPr/>
          <w:p w:rsidR="00000000" w:rsidDel="00000000" w:rsidP="00000000" w:rsidRDefault="00000000" w:rsidRPr="00000000" w14:paraId="000000E4">
            <w:pPr>
              <w:tabs>
                <w:tab w:val="left" w:leader="none" w:pos="426"/>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[S9]</w:t>
            </w:r>
          </w:p>
        </w:tc>
        <w:tc>
          <w:tcPr>
            <w:shd w:fill="auto" w:val="clear"/>
          </w:tcPr>
          <w:p w:rsidR="00000000" w:rsidDel="00000000" w:rsidP="00000000" w:rsidRDefault="00000000" w:rsidRPr="00000000" w14:paraId="000000E5">
            <w:pPr>
              <w:tabs>
                <w:tab w:val="left" w:leader="none" w:pos="426"/>
              </w:tabs>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Curtea de Justiţie a UE, Banca Centrală Europeană, Curtea de Conturi, Comitetul Economic şi Social, Comitetul Regiunilor</w:t>
            </w:r>
          </w:p>
        </w:tc>
        <w:tc>
          <w:tcPr>
            <w:shd w:fill="auto" w:val="clear"/>
          </w:tcPr>
          <w:p w:rsidR="00000000" w:rsidDel="00000000" w:rsidP="00000000" w:rsidRDefault="00000000" w:rsidRPr="00000000" w14:paraId="000000E6">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Seminarul vizează analizarea unui text care descrie</w:t>
            </w:r>
            <w:r w:rsidDel="00000000" w:rsidR="00000000" w:rsidRPr="00000000">
              <w:rPr>
                <w:rtl w:val="0"/>
              </w:rPr>
              <w:t xml:space="preserve"> </w:t>
            </w:r>
            <w:r w:rsidDel="00000000" w:rsidR="00000000" w:rsidRPr="00000000">
              <w:rPr>
                <w:rFonts w:ascii="Times New Roman" w:cs="Times New Roman" w:eastAsia="Times New Roman" w:hAnsi="Times New Roman"/>
                <w:sz w:val="24"/>
                <w:szCs w:val="24"/>
                <w:rtl w:val="0"/>
              </w:rPr>
              <w:t xml:space="preserve">Curtea de Justiţie a UE, Banca Centrală Europeană, Curtea de Conturi, Comitetul Economic şi Social și Comitetul Regiunilor</w:t>
            </w:r>
          </w:p>
        </w:tc>
        <w:tc>
          <w:tcPr>
            <w:shd w:fill="auto" w:val="clear"/>
          </w:tcPr>
          <w:p w:rsidR="00000000" w:rsidDel="00000000" w:rsidP="00000000" w:rsidRDefault="00000000" w:rsidRPr="00000000" w14:paraId="000000E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S=2h</w:t>
            </w:r>
          </w:p>
          <w:p w:rsidR="00000000" w:rsidDel="00000000" w:rsidP="00000000" w:rsidRDefault="00000000" w:rsidRPr="00000000" w14:paraId="000000E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SI=4h</w:t>
            </w:r>
          </w:p>
        </w:tc>
      </w:tr>
      <w:tr>
        <w:trPr>
          <w:cantSplit w:val="0"/>
          <w:tblHeader w:val="0"/>
        </w:trPr>
        <w:tc>
          <w:tcPr/>
          <w:p w:rsidR="00000000" w:rsidDel="00000000" w:rsidP="00000000" w:rsidRDefault="00000000" w:rsidRPr="00000000" w14:paraId="000000E9">
            <w:pPr>
              <w:tabs>
                <w:tab w:val="left" w:leader="none" w:pos="426"/>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[S10]</w:t>
            </w:r>
          </w:p>
        </w:tc>
        <w:tc>
          <w:tcPr>
            <w:shd w:fill="auto" w:val="clear"/>
          </w:tcPr>
          <w:p w:rsidR="00000000" w:rsidDel="00000000" w:rsidP="00000000" w:rsidRDefault="00000000" w:rsidRPr="00000000" w14:paraId="000000EA">
            <w:pPr>
              <w:tabs>
                <w:tab w:val="left" w:leader="none" w:pos="426"/>
              </w:tabs>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TEST 2</w:t>
            </w:r>
          </w:p>
        </w:tc>
        <w:tc>
          <w:tcPr>
            <w:shd w:fill="auto" w:val="clear"/>
          </w:tcPr>
          <w:p w:rsidR="00000000" w:rsidDel="00000000" w:rsidP="00000000" w:rsidRDefault="00000000" w:rsidRPr="00000000" w14:paraId="000000E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shd w:fill="auto" w:val="clear"/>
          </w:tcPr>
          <w:p w:rsidR="00000000" w:rsidDel="00000000" w:rsidP="00000000" w:rsidRDefault="00000000" w:rsidRPr="00000000" w14:paraId="000000E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S=2h</w:t>
            </w:r>
          </w:p>
          <w:p w:rsidR="00000000" w:rsidDel="00000000" w:rsidP="00000000" w:rsidRDefault="00000000" w:rsidRPr="00000000" w14:paraId="000000E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SI=4h</w:t>
            </w:r>
          </w:p>
        </w:tc>
      </w:tr>
      <w:tr>
        <w:trPr>
          <w:cantSplit w:val="0"/>
          <w:tblHeader w:val="0"/>
        </w:trPr>
        <w:tc>
          <w:tcPr/>
          <w:p w:rsidR="00000000" w:rsidDel="00000000" w:rsidP="00000000" w:rsidRDefault="00000000" w:rsidRPr="00000000" w14:paraId="000000EE">
            <w:pPr>
              <w:tabs>
                <w:tab w:val="left" w:leader="none" w:pos="426"/>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[S11]</w:t>
            </w:r>
          </w:p>
        </w:tc>
        <w:tc>
          <w:tcPr>
            <w:shd w:fill="auto" w:val="clear"/>
          </w:tcPr>
          <w:p w:rsidR="00000000" w:rsidDel="00000000" w:rsidP="00000000" w:rsidRDefault="00000000" w:rsidRPr="00000000" w14:paraId="000000EF">
            <w:pPr>
              <w:tabs>
                <w:tab w:val="left" w:leader="none" w:pos="426"/>
              </w:tabs>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Teoriile integrării I</w:t>
            </w:r>
          </w:p>
        </w:tc>
        <w:tc>
          <w:tcPr>
            <w:shd w:fill="auto" w:val="clear"/>
          </w:tcPr>
          <w:p w:rsidR="00000000" w:rsidDel="00000000" w:rsidP="00000000" w:rsidRDefault="00000000" w:rsidRPr="00000000" w14:paraId="000000F0">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Seminarul vizează parcurgerea unui text care analizează aplicarea teoriilor integrării europene în cazul sistemului instituțional al UE</w:t>
            </w:r>
          </w:p>
        </w:tc>
        <w:tc>
          <w:tcPr>
            <w:shd w:fill="auto" w:val="clear"/>
          </w:tcPr>
          <w:p w:rsidR="00000000" w:rsidDel="00000000" w:rsidP="00000000" w:rsidRDefault="00000000" w:rsidRPr="00000000" w14:paraId="000000F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S=2h</w:t>
            </w:r>
          </w:p>
          <w:p w:rsidR="00000000" w:rsidDel="00000000" w:rsidP="00000000" w:rsidRDefault="00000000" w:rsidRPr="00000000" w14:paraId="000000F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SI=3h</w:t>
            </w:r>
          </w:p>
        </w:tc>
      </w:tr>
      <w:tr>
        <w:trPr>
          <w:cantSplit w:val="0"/>
          <w:tblHeader w:val="0"/>
        </w:trPr>
        <w:tc>
          <w:tcPr/>
          <w:p w:rsidR="00000000" w:rsidDel="00000000" w:rsidP="00000000" w:rsidRDefault="00000000" w:rsidRPr="00000000" w14:paraId="000000F3">
            <w:pPr>
              <w:tabs>
                <w:tab w:val="left" w:leader="none" w:pos="42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[S12]</w:t>
            </w:r>
          </w:p>
        </w:tc>
        <w:tc>
          <w:tcPr>
            <w:shd w:fill="auto" w:val="clear"/>
          </w:tcPr>
          <w:p w:rsidR="00000000" w:rsidDel="00000000" w:rsidP="00000000" w:rsidRDefault="00000000" w:rsidRPr="00000000" w14:paraId="000000F4">
            <w:pPr>
              <w:tabs>
                <w:tab w:val="left" w:leader="none" w:pos="426"/>
              </w:tabs>
              <w:spacing w:after="0" w:lineRule="auto"/>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Teoriile integrării II</w:t>
            </w:r>
          </w:p>
        </w:tc>
        <w:tc>
          <w:tcPr>
            <w:shd w:fill="auto" w:val="clear"/>
          </w:tcPr>
          <w:p w:rsidR="00000000" w:rsidDel="00000000" w:rsidP="00000000" w:rsidRDefault="00000000" w:rsidRPr="00000000" w14:paraId="000000F5">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Seminarul vizează parcurgerea unui text care analizează aplicarea teoriilor integrării europene în cazul sistemului instituțional al UE</w:t>
            </w:r>
          </w:p>
        </w:tc>
        <w:tc>
          <w:tcPr>
            <w:shd w:fill="auto" w:val="clear"/>
          </w:tcPr>
          <w:p w:rsidR="00000000" w:rsidDel="00000000" w:rsidP="00000000" w:rsidRDefault="00000000" w:rsidRPr="00000000" w14:paraId="000000F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S=2h</w:t>
            </w:r>
          </w:p>
          <w:p w:rsidR="00000000" w:rsidDel="00000000" w:rsidP="00000000" w:rsidRDefault="00000000" w:rsidRPr="00000000" w14:paraId="000000F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SI=3h</w:t>
            </w:r>
          </w:p>
        </w:tc>
      </w:tr>
      <w:tr>
        <w:trPr>
          <w:cantSplit w:val="0"/>
          <w:tblHeader w:val="0"/>
        </w:trPr>
        <w:tc>
          <w:tcPr/>
          <w:p w:rsidR="00000000" w:rsidDel="00000000" w:rsidP="00000000" w:rsidRDefault="00000000" w:rsidRPr="00000000" w14:paraId="000000F8">
            <w:pPr>
              <w:tabs>
                <w:tab w:val="left" w:leader="none" w:pos="42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[S13]</w:t>
            </w:r>
          </w:p>
        </w:tc>
        <w:tc>
          <w:tcPr>
            <w:shd w:fill="auto" w:val="clear"/>
          </w:tcPr>
          <w:p w:rsidR="00000000" w:rsidDel="00000000" w:rsidP="00000000" w:rsidRDefault="00000000" w:rsidRPr="00000000" w14:paraId="000000F9">
            <w:pPr>
              <w:tabs>
                <w:tab w:val="left" w:leader="none" w:pos="42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iCs w:val="1"/>
                <w:sz w:val="24"/>
                <w:szCs w:val="24"/>
                <w:rtl w:val="0"/>
              </w:rPr>
              <w:t xml:space="preserve">TEST 3 </w:t>
            </w:r>
            <w:r w:rsidDel="00000000" w:rsidR="00000000" w:rsidRPr="00000000">
              <w:rPr>
                <w:rtl w:val="0"/>
              </w:rPr>
            </w:r>
          </w:p>
        </w:tc>
        <w:tc>
          <w:tcPr>
            <w:shd w:fill="auto" w:val="clear"/>
          </w:tcPr>
          <w:p w:rsidR="00000000" w:rsidDel="00000000" w:rsidP="00000000" w:rsidRDefault="00000000" w:rsidRPr="00000000" w14:paraId="000000F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shd w:fill="auto" w:val="clear"/>
          </w:tcPr>
          <w:p w:rsidR="00000000" w:rsidDel="00000000" w:rsidP="00000000" w:rsidRDefault="00000000" w:rsidRPr="00000000" w14:paraId="000000F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S=2h</w:t>
            </w:r>
          </w:p>
          <w:p w:rsidR="00000000" w:rsidDel="00000000" w:rsidP="00000000" w:rsidRDefault="00000000" w:rsidRPr="00000000" w14:paraId="000000F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SI=3h</w:t>
            </w:r>
          </w:p>
        </w:tc>
      </w:tr>
      <w:tr>
        <w:trPr>
          <w:cantSplit w:val="0"/>
          <w:tblHeader w:val="0"/>
        </w:trPr>
        <w:tc>
          <w:tcPr/>
          <w:p w:rsidR="00000000" w:rsidDel="00000000" w:rsidP="00000000" w:rsidRDefault="00000000" w:rsidRPr="00000000" w14:paraId="000000FD">
            <w:pPr>
              <w:tabs>
                <w:tab w:val="left" w:leader="none" w:pos="42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[S14]</w:t>
            </w:r>
          </w:p>
        </w:tc>
        <w:tc>
          <w:tcPr>
            <w:shd w:fill="auto" w:val="clear"/>
          </w:tcPr>
          <w:p w:rsidR="00000000" w:rsidDel="00000000" w:rsidP="00000000" w:rsidRDefault="00000000" w:rsidRPr="00000000" w14:paraId="000000FE">
            <w:pPr>
              <w:tabs>
                <w:tab w:val="left" w:leader="none" w:pos="426"/>
              </w:tabs>
              <w:spacing w:after="0" w:lineRule="auto"/>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Recapitulare</w:t>
            </w:r>
          </w:p>
        </w:tc>
        <w:tc>
          <w:tcPr>
            <w:shd w:fill="auto" w:val="clear"/>
          </w:tcPr>
          <w:p w:rsidR="00000000" w:rsidDel="00000000" w:rsidP="00000000" w:rsidRDefault="00000000" w:rsidRPr="00000000" w14:paraId="000000FF">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Recapitularea materiei în vederea pregătirii examenului final</w:t>
            </w:r>
          </w:p>
        </w:tc>
        <w:tc>
          <w:tcPr>
            <w:shd w:fill="auto" w:val="clear"/>
          </w:tcPr>
          <w:p w:rsidR="00000000" w:rsidDel="00000000" w:rsidP="00000000" w:rsidRDefault="00000000" w:rsidRPr="00000000" w14:paraId="0000010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S=2h</w:t>
            </w:r>
          </w:p>
          <w:p w:rsidR="00000000" w:rsidDel="00000000" w:rsidP="00000000" w:rsidRDefault="00000000" w:rsidRPr="00000000" w14:paraId="0000010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SI=3h</w:t>
            </w:r>
          </w:p>
        </w:tc>
      </w:tr>
      <w:tr>
        <w:trPr>
          <w:cantSplit w:val="0"/>
          <w:trHeight w:val="376" w:hRule="atLeast"/>
          <w:tblHeader w:val="0"/>
        </w:trPr>
        <w:tc>
          <w:tcPr/>
          <w:p w:rsidR="00000000" w:rsidDel="00000000" w:rsidP="00000000" w:rsidRDefault="00000000" w:rsidRPr="00000000" w14:paraId="00000102">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03">
            <w:pPr>
              <w:spacing w:after="0" w:lineRule="auto"/>
              <w:rPr>
                <w:rFonts w:ascii="Times New Roman" w:cs="Times New Roman" w:eastAsia="Times New Roman" w:hAnsi="Times New Roman"/>
                <w:b w:val="1"/>
                <w:bCs w:val="1"/>
                <w:sz w:val="24"/>
                <w:szCs w:val="24"/>
              </w:rPr>
            </w:pPr>
            <w:r w:rsidDel="00000000" w:rsidR="00000000" w:rsidRPr="00000000">
              <w:rPr>
                <w:rtl w:val="0"/>
              </w:rPr>
            </w:r>
          </w:p>
        </w:tc>
        <w:tc>
          <w:tcPr>
            <w:shd w:fill="auto" w:val="clear"/>
          </w:tcPr>
          <w:p w:rsidR="00000000" w:rsidDel="00000000" w:rsidP="00000000" w:rsidRDefault="00000000" w:rsidRPr="00000000" w14:paraId="00000104">
            <w:pPr>
              <w:spacing w:after="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Total ore</w:t>
            </w:r>
          </w:p>
        </w:tc>
        <w:tc>
          <w:tcPr>
            <w:shd w:fill="auto" w:val="clear"/>
          </w:tcPr>
          <w:p w:rsidR="00000000" w:rsidDel="00000000" w:rsidP="00000000" w:rsidRDefault="00000000" w:rsidRPr="00000000" w14:paraId="0000010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S=28h</w:t>
            </w:r>
          </w:p>
          <w:p w:rsidR="00000000" w:rsidDel="00000000" w:rsidP="00000000" w:rsidRDefault="00000000" w:rsidRPr="00000000" w14:paraId="0000010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SI=47</w:t>
            </w:r>
          </w:p>
        </w:tc>
      </w:tr>
    </w:tbl>
    <w:p w:rsidR="00000000" w:rsidDel="00000000" w:rsidP="00000000" w:rsidRDefault="00000000" w:rsidRPr="00000000" w14:paraId="00000107">
      <w:pPr>
        <w:pBdr>
          <w:top w:space="0" w:sz="0" w:val="nil"/>
          <w:left w:space="0" w:sz="0" w:val="nil"/>
          <w:bottom w:space="0" w:sz="0" w:val="nil"/>
          <w:right w:space="0" w:sz="0" w:val="nil"/>
          <w:between w:space="0" w:sz="0" w:val="nil"/>
        </w:pBdr>
        <w:spacing w:after="0" w:line="240" w:lineRule="auto"/>
        <w:ind w:left="40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108">
      <w:pPr>
        <w:pBdr>
          <w:top w:space="0" w:sz="0" w:val="nil"/>
          <w:left w:space="0" w:sz="0" w:val="nil"/>
          <w:bottom w:space="0" w:sz="0" w:val="nil"/>
          <w:right w:space="0" w:sz="0" w:val="nil"/>
          <w:between w:space="0" w:sz="0" w:val="nil"/>
        </w:pBdr>
        <w:spacing w:after="0" w:line="240" w:lineRule="auto"/>
        <w:ind w:left="40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109">
      <w:pPr>
        <w:pBdr>
          <w:top w:space="0" w:sz="0" w:val="nil"/>
          <w:left w:space="0" w:sz="0" w:val="nil"/>
          <w:bottom w:space="0" w:sz="0" w:val="nil"/>
          <w:right w:space="0" w:sz="0" w:val="nil"/>
          <w:between w:space="0" w:sz="0" w:val="nil"/>
        </w:pBdr>
        <w:spacing w:after="0" w:line="240" w:lineRule="auto"/>
        <w:ind w:left="40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10A">
      <w:pPr>
        <w:spacing w:after="0" w:line="360" w:lineRule="auto"/>
        <w:ind w:right="-567"/>
        <w:jc w:val="both"/>
        <w:rPr>
          <w:rFonts w:ascii="Times New Roman" w:cs="Times New Roman" w:eastAsia="Times New Roman" w:hAnsi="Times New Roman"/>
          <w:i w:val="1"/>
          <w:iCs w:val="1"/>
          <w:sz w:val="23"/>
          <w:szCs w:val="23"/>
        </w:rPr>
      </w:pPr>
      <w:r w:rsidDel="00000000" w:rsidR="00000000" w:rsidRPr="00000000">
        <w:rPr>
          <w:rFonts w:ascii="Times New Roman" w:cs="Times New Roman" w:eastAsia="Times New Roman" w:hAnsi="Times New Roman"/>
          <w:b w:val="1"/>
          <w:bCs w:val="1"/>
          <w:sz w:val="24"/>
          <w:szCs w:val="24"/>
          <w:rtl w:val="0"/>
        </w:rPr>
        <w:t xml:space="preserve">E. EVALUARE</w:t>
      </w:r>
      <w:r w:rsidDel="00000000" w:rsidR="00000000" w:rsidRPr="00000000">
        <w:rPr>
          <w:rFonts w:ascii="Times New Roman" w:cs="Times New Roman" w:eastAsia="Times New Roman" w:hAnsi="Times New Roman"/>
          <w:b w:val="1"/>
          <w:bCs w:val="1"/>
          <w:sz w:val="23"/>
          <w:szCs w:val="23"/>
          <w:rtl w:val="0"/>
        </w:rPr>
        <w:t xml:space="preserve"> </w:t>
      </w:r>
      <w:r w:rsidDel="00000000" w:rsidR="00000000" w:rsidRPr="00000000">
        <w:rPr>
          <w:rtl w:val="0"/>
        </w:rPr>
      </w:r>
    </w:p>
    <w:p w:rsidR="00000000" w:rsidDel="00000000" w:rsidP="00000000" w:rsidRDefault="00000000" w:rsidRPr="00000000" w14:paraId="0000010B">
      <w:pPr>
        <w:spacing w:line="36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1. Forme de evaluare si pondere:</w:t>
      </w:r>
    </w:p>
    <w:tbl>
      <w:tblPr>
        <w:tblStyle w:val="Table6"/>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65"/>
        <w:gridCol w:w="3234"/>
        <w:gridCol w:w="3248"/>
        <w:tblGridChange w:id="0">
          <w:tblGrid>
            <w:gridCol w:w="3265"/>
            <w:gridCol w:w="3234"/>
            <w:gridCol w:w="3248"/>
          </w:tblGrid>
        </w:tblGridChange>
      </w:tblGrid>
      <w:tr>
        <w:trPr>
          <w:cantSplit w:val="0"/>
          <w:tblHeader w:val="0"/>
        </w:trPr>
        <w:tc>
          <w:tcPr>
            <w:shd w:fill="auto" w:val="clear"/>
          </w:tcPr>
          <w:p w:rsidR="00000000" w:rsidDel="00000000" w:rsidP="00000000" w:rsidRDefault="00000000" w:rsidRPr="00000000" w14:paraId="0000010C">
            <w:pPr>
              <w:spacing w:after="0" w:line="36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Componente disciplină</w:t>
            </w:r>
          </w:p>
        </w:tc>
        <w:tc>
          <w:tcPr>
            <w:shd w:fill="auto" w:val="clear"/>
          </w:tcPr>
          <w:p w:rsidR="00000000" w:rsidDel="00000000" w:rsidP="00000000" w:rsidRDefault="00000000" w:rsidRPr="00000000" w14:paraId="0000010D">
            <w:pPr>
              <w:spacing w:after="0" w:line="36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Forme de evaluare</w:t>
            </w:r>
          </w:p>
        </w:tc>
        <w:tc>
          <w:tcPr>
            <w:shd w:fill="auto" w:val="clear"/>
          </w:tcPr>
          <w:p w:rsidR="00000000" w:rsidDel="00000000" w:rsidP="00000000" w:rsidRDefault="00000000" w:rsidRPr="00000000" w14:paraId="0000010E">
            <w:pPr>
              <w:spacing w:after="0" w:line="36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Pondere</w:t>
            </w:r>
          </w:p>
        </w:tc>
      </w:tr>
      <w:tr>
        <w:trPr>
          <w:cantSplit w:val="0"/>
          <w:tblHeader w:val="0"/>
        </w:trPr>
        <w:tc>
          <w:tcPr>
            <w:shd w:fill="auto" w:val="clear"/>
          </w:tcPr>
          <w:p w:rsidR="00000000" w:rsidDel="00000000" w:rsidP="00000000" w:rsidRDefault="00000000" w:rsidRPr="00000000" w14:paraId="0000010F">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Curs</w:t>
            </w:r>
          </w:p>
        </w:tc>
        <w:tc>
          <w:tcPr>
            <w:shd w:fill="auto" w:val="clear"/>
          </w:tcPr>
          <w:p w:rsidR="00000000" w:rsidDel="00000000" w:rsidP="00000000" w:rsidRDefault="00000000" w:rsidRPr="00000000" w14:paraId="00000110">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Examen Scris</w:t>
            </w:r>
          </w:p>
        </w:tc>
        <w:tc>
          <w:tcPr>
            <w:shd w:fill="auto" w:val="clear"/>
          </w:tcPr>
          <w:p w:rsidR="00000000" w:rsidDel="00000000" w:rsidP="00000000" w:rsidRDefault="00000000" w:rsidRPr="00000000" w14:paraId="00000111">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w:t>
            </w:r>
          </w:p>
        </w:tc>
      </w:tr>
      <w:tr>
        <w:trPr>
          <w:cantSplit w:val="0"/>
          <w:tblHeader w:val="0"/>
        </w:trPr>
        <w:tc>
          <w:tcPr>
            <w:shd w:fill="auto" w:val="clear"/>
          </w:tcPr>
          <w:p w:rsidR="00000000" w:rsidDel="00000000" w:rsidP="00000000" w:rsidRDefault="00000000" w:rsidRPr="00000000" w14:paraId="00000112">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Seminar</w:t>
            </w:r>
          </w:p>
        </w:tc>
        <w:tc>
          <w:tcPr>
            <w:shd w:fill="auto" w:val="clear"/>
          </w:tcPr>
          <w:p w:rsidR="00000000" w:rsidDel="00000000" w:rsidP="00000000" w:rsidRDefault="00000000" w:rsidRPr="00000000" w14:paraId="00000113">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Continuă (intervenții, 3 teste)</w:t>
            </w:r>
          </w:p>
        </w:tc>
        <w:tc>
          <w:tcPr>
            <w:shd w:fill="auto" w:val="clear"/>
          </w:tcPr>
          <w:p w:rsidR="00000000" w:rsidDel="00000000" w:rsidP="00000000" w:rsidRDefault="00000000" w:rsidRPr="00000000" w14:paraId="00000114">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70%</w:t>
            </w:r>
          </w:p>
        </w:tc>
      </w:tr>
    </w:tbl>
    <w:p w:rsidR="00000000" w:rsidDel="00000000" w:rsidP="00000000" w:rsidRDefault="00000000" w:rsidRPr="00000000" w14:paraId="00000115">
      <w:pPr>
        <w:spacing w:line="360" w:lineRule="auto"/>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116">
      <w:pPr>
        <w:spacing w:line="36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2. Standarde de performanță raportate la competențe:</w:t>
      </w:r>
    </w:p>
    <w:tbl>
      <w:tblPr>
        <w:tblStyle w:val="Table7"/>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1"/>
        <w:tblGridChange w:id="0">
          <w:tblGrid>
            <w:gridCol w:w="2410"/>
            <w:gridCol w:w="7371"/>
          </w:tblGrid>
        </w:tblGridChange>
      </w:tblGrid>
      <w:tr>
        <w:trPr>
          <w:cantSplit w:val="0"/>
          <w:tblHeader w:val="0"/>
        </w:trPr>
        <w:tc>
          <w:tcPr>
            <w:shd w:fill="auto" w:val="clear"/>
          </w:tcPr>
          <w:p w:rsidR="00000000" w:rsidDel="00000000" w:rsidP="00000000" w:rsidRDefault="00000000" w:rsidRPr="00000000" w14:paraId="00000117">
            <w:pPr>
              <w:spacing w:after="0" w:line="36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Tip standard</w:t>
            </w:r>
          </w:p>
        </w:tc>
        <w:tc>
          <w:tcPr>
            <w:shd w:fill="auto" w:val="clear"/>
          </w:tcPr>
          <w:p w:rsidR="00000000" w:rsidDel="00000000" w:rsidP="00000000" w:rsidRDefault="00000000" w:rsidRPr="00000000" w14:paraId="00000118">
            <w:pPr>
              <w:spacing w:after="0" w:line="36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Descriere standard</w:t>
            </w:r>
          </w:p>
        </w:tc>
      </w:tr>
      <w:tr>
        <w:trPr>
          <w:cantSplit w:val="0"/>
          <w:trHeight w:val="330" w:hRule="atLeast"/>
          <w:tblHeader w:val="0"/>
        </w:trPr>
        <w:tc>
          <w:tcPr>
            <w:shd w:fill="auto" w:val="clear"/>
          </w:tcPr>
          <w:p w:rsidR="00000000" w:rsidDel="00000000" w:rsidP="00000000" w:rsidRDefault="00000000" w:rsidRPr="00000000" w14:paraId="00000119">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Minim (media 5)</w:t>
            </w:r>
          </w:p>
        </w:tc>
        <w:tc>
          <w:tcPr>
            <w:shd w:fill="auto" w:val="clear"/>
          </w:tcPr>
          <w:p w:rsidR="00000000" w:rsidDel="00000000" w:rsidP="00000000" w:rsidRDefault="00000000" w:rsidRPr="00000000" w14:paraId="0000011A">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Prezența la seminarii 70%</w:t>
            </w:r>
          </w:p>
          <w:p w:rsidR="00000000" w:rsidDel="00000000" w:rsidP="00000000" w:rsidRDefault="00000000" w:rsidRPr="00000000" w14:paraId="0000011B">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Prezența la cursuri 50%</w:t>
            </w:r>
          </w:p>
          <w:p w:rsidR="00000000" w:rsidDel="00000000" w:rsidP="00000000" w:rsidRDefault="00000000" w:rsidRPr="00000000" w14:paraId="0000011C">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Activitate de seminar notată cu cel puțin 5</w:t>
            </w:r>
          </w:p>
          <w:p w:rsidR="00000000" w:rsidDel="00000000" w:rsidP="00000000" w:rsidRDefault="00000000" w:rsidRPr="00000000" w14:paraId="0000011D">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Condițiile de mai sus sunt obligatorii pentru admiterea la examenul final</w:t>
            </w:r>
          </w:p>
          <w:p w:rsidR="00000000" w:rsidDel="00000000" w:rsidP="00000000" w:rsidRDefault="00000000" w:rsidRPr="00000000" w14:paraId="0000011E">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Cel puțin nota 5 la examenul final</w:t>
            </w:r>
          </w:p>
        </w:tc>
      </w:tr>
      <w:tr>
        <w:trPr>
          <w:cantSplit w:val="0"/>
          <w:trHeight w:val="315" w:hRule="atLeast"/>
          <w:tblHeader w:val="0"/>
        </w:trPr>
        <w:tc>
          <w:tcPr>
            <w:shd w:fill="auto" w:val="clear"/>
          </w:tcPr>
          <w:p w:rsidR="00000000" w:rsidDel="00000000" w:rsidP="00000000" w:rsidRDefault="00000000" w:rsidRPr="00000000" w14:paraId="0000011F">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Maxim (media 10)</w:t>
            </w:r>
          </w:p>
        </w:tc>
        <w:tc>
          <w:tcPr>
            <w:shd w:fill="auto" w:val="clear"/>
          </w:tcPr>
          <w:p w:rsidR="00000000" w:rsidDel="00000000" w:rsidP="00000000" w:rsidRDefault="00000000" w:rsidRPr="00000000" w14:paraId="00000120">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Prezența la seminarii 70%</w:t>
            </w:r>
          </w:p>
          <w:p w:rsidR="00000000" w:rsidDel="00000000" w:rsidP="00000000" w:rsidRDefault="00000000" w:rsidRPr="00000000" w14:paraId="00000121">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Prezența la cursuri 50%</w:t>
            </w:r>
          </w:p>
          <w:p w:rsidR="00000000" w:rsidDel="00000000" w:rsidP="00000000" w:rsidRDefault="00000000" w:rsidRPr="00000000" w14:paraId="00000122">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Activitate la seminar notată cu 10</w:t>
            </w:r>
          </w:p>
          <w:p w:rsidR="00000000" w:rsidDel="00000000" w:rsidP="00000000" w:rsidRDefault="00000000" w:rsidRPr="00000000" w14:paraId="00000123">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Cel puțin nota 9 la examenul final</w:t>
            </w:r>
          </w:p>
        </w:tc>
      </w:tr>
    </w:tbl>
    <w:p w:rsidR="00000000" w:rsidDel="00000000" w:rsidP="00000000" w:rsidRDefault="00000000" w:rsidRPr="00000000" w14:paraId="00000124">
      <w:pPr>
        <w:pBdr>
          <w:top w:space="0" w:sz="0" w:val="nil"/>
          <w:left w:space="0" w:sz="0" w:val="nil"/>
          <w:bottom w:space="0" w:sz="0" w:val="nil"/>
          <w:right w:space="0" w:sz="0" w:val="nil"/>
          <w:between w:space="0" w:sz="0" w:val="nil"/>
        </w:pBdr>
        <w:spacing w:after="240" w:line="360" w:lineRule="auto"/>
        <w:ind w:right="-567"/>
        <w:jc w:val="both"/>
        <w:rPr>
          <w:rFonts w:ascii="Times New Roman" w:cs="Times New Roman" w:eastAsia="Times New Roman" w:hAnsi="Times New Roman"/>
          <w:b w:val="1"/>
          <w:bCs w:val="1"/>
          <w:color w:val="000000"/>
          <w:sz w:val="24"/>
          <w:szCs w:val="24"/>
        </w:rPr>
      </w:pPr>
      <w:r w:rsidDel="00000000" w:rsidR="00000000" w:rsidRPr="00000000">
        <w:rPr>
          <w:rtl w:val="0"/>
        </w:rPr>
      </w:r>
    </w:p>
    <w:p w:rsidR="00000000" w:rsidDel="00000000" w:rsidP="00000000" w:rsidRDefault="00000000" w:rsidRPr="00000000" w14:paraId="00000125">
      <w:pPr>
        <w:pBdr>
          <w:top w:space="0" w:sz="0" w:val="nil"/>
          <w:left w:space="0" w:sz="0" w:val="nil"/>
          <w:bottom w:space="0" w:sz="0" w:val="nil"/>
          <w:right w:space="0" w:sz="0" w:val="nil"/>
          <w:between w:space="0" w:sz="0" w:val="nil"/>
        </w:pBdr>
        <w:spacing w:after="240" w:line="360" w:lineRule="auto"/>
        <w:ind w:right="-567"/>
        <w:jc w:val="both"/>
        <w:rPr>
          <w:rFonts w:ascii="Times New Roman" w:cs="Times New Roman" w:eastAsia="Times New Roman" w:hAnsi="Times New Roman"/>
          <w:color w:val="000000"/>
          <w:sz w:val="23"/>
          <w:szCs w:val="23"/>
        </w:rPr>
      </w:pPr>
      <w:r w:rsidDel="00000000" w:rsidR="00000000" w:rsidRPr="00000000">
        <w:rPr>
          <w:rFonts w:ascii="Times New Roman" w:cs="Times New Roman" w:eastAsia="Times New Roman" w:hAnsi="Times New Roman"/>
          <w:b w:val="1"/>
          <w:bCs w:val="1"/>
          <w:color w:val="000000"/>
          <w:sz w:val="24"/>
          <w:szCs w:val="24"/>
          <w:rtl w:val="0"/>
        </w:rPr>
        <w:t xml:space="preserve">F. REPERE METODOLOGICE</w:t>
      </w:r>
      <w:r w:rsidDel="00000000" w:rsidR="00000000" w:rsidRPr="00000000">
        <w:rPr>
          <w:rFonts w:ascii="Times New Roman" w:cs="Times New Roman" w:eastAsia="Times New Roman" w:hAnsi="Times New Roman"/>
          <w:color w:val="000000"/>
          <w:sz w:val="23"/>
          <w:szCs w:val="23"/>
          <w:rtl w:val="0"/>
        </w:rPr>
        <w:t xml:space="preserve"> </w:t>
      </w:r>
    </w:p>
    <w:p w:rsidR="00000000" w:rsidDel="00000000" w:rsidP="00000000" w:rsidRDefault="00000000" w:rsidRPr="00000000" w14:paraId="00000126">
      <w:pPr>
        <w:spacing w:line="360" w:lineRule="auto"/>
        <w:ind w:right="-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1) Strategia didactică</w:t>
      </w:r>
      <w:r w:rsidDel="00000000" w:rsidR="00000000" w:rsidRPr="00000000">
        <w:rPr>
          <w:rFonts w:ascii="Times New Roman" w:cs="Times New Roman" w:eastAsia="Times New Roman" w:hAnsi="Times New Roman"/>
          <w:sz w:val="24"/>
          <w:szCs w:val="24"/>
          <w:rtl w:val="0"/>
        </w:rPr>
        <w:t xml:space="preserve"> folosită în cadrul disciplinei Instituții ale Uniunii Europene (IUE) are în vedere fundamente constructiviste. Învățarea este considerată a fi un proces activ și explicit în care studenții acumulează concepte noi folosind cunoașterea lor prezentă. Cadrele didactice (titularul de curs și asistenții de seminar) își asumă transpunerea didactică – transformarea informației de învățat într-un format adaptat stării de înțelegere curentă a studenților/studentelor. Curriculumul este construit în așa manieră încât studenții/studentele pot construi noi cunoștințe pe cele deja învățate.</w:t>
      </w:r>
    </w:p>
    <w:p w:rsidR="00000000" w:rsidDel="00000000" w:rsidP="00000000" w:rsidRDefault="00000000" w:rsidRPr="00000000" w14:paraId="00000127">
      <w:pPr>
        <w:spacing w:line="360" w:lineRule="auto"/>
        <w:ind w:right="-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8">
      <w:pPr>
        <w:spacing w:line="36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2) Materiale și Resurse didactice:</w:t>
      </w:r>
    </w:p>
    <w:tbl>
      <w:tblPr>
        <w:tblStyle w:val="Table8"/>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3"/>
        <w:gridCol w:w="8994"/>
        <w:tblGridChange w:id="0">
          <w:tblGrid>
            <w:gridCol w:w="753"/>
            <w:gridCol w:w="8994"/>
          </w:tblGrid>
        </w:tblGridChange>
      </w:tblGrid>
      <w:tr>
        <w:trPr>
          <w:cantSplit w:val="0"/>
          <w:tblHeader w:val="0"/>
        </w:trPr>
        <w:tc>
          <w:tcPr>
            <w:shd w:fill="auto" w:val="clear"/>
          </w:tcPr>
          <w:p w:rsidR="00000000" w:rsidDel="00000000" w:rsidP="00000000" w:rsidRDefault="00000000" w:rsidRPr="00000000" w14:paraId="00000129">
            <w:pPr>
              <w:spacing w:after="0" w:line="36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 </w:t>
            </w:r>
          </w:p>
        </w:tc>
        <w:tc>
          <w:tcPr>
            <w:shd w:fill="auto" w:val="clear"/>
          </w:tcPr>
          <w:p w:rsidR="00000000" w:rsidDel="00000000" w:rsidP="00000000" w:rsidRDefault="00000000" w:rsidRPr="00000000" w14:paraId="0000012A">
            <w:pPr>
              <w:spacing w:after="0" w:line="36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Nume material/resursă didactică</w:t>
            </w:r>
          </w:p>
        </w:tc>
      </w:tr>
      <w:tr>
        <w:trPr>
          <w:cantSplit w:val="0"/>
          <w:tblHeader w:val="0"/>
        </w:trPr>
        <w:tc>
          <w:tcPr>
            <w:shd w:fill="auto" w:val="clear"/>
          </w:tcPr>
          <w:p w:rsidR="00000000" w:rsidDel="00000000" w:rsidP="00000000" w:rsidRDefault="00000000" w:rsidRPr="00000000" w14:paraId="0000012B">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Pr>
          <w:p w:rsidR="00000000" w:rsidDel="00000000" w:rsidP="00000000" w:rsidRDefault="00000000" w:rsidRPr="00000000" w14:paraId="0000012C">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Resurse online;</w:t>
            </w:r>
          </w:p>
        </w:tc>
      </w:tr>
      <w:tr>
        <w:trPr>
          <w:cantSplit w:val="0"/>
          <w:tblHeader w:val="0"/>
        </w:trPr>
        <w:tc>
          <w:tcPr>
            <w:shd w:fill="auto" w:val="clear"/>
          </w:tcPr>
          <w:p w:rsidR="00000000" w:rsidDel="00000000" w:rsidP="00000000" w:rsidRDefault="00000000" w:rsidRPr="00000000" w14:paraId="0000012D">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auto" w:val="clear"/>
          </w:tcPr>
          <w:p w:rsidR="00000000" w:rsidDel="00000000" w:rsidP="00000000" w:rsidRDefault="00000000" w:rsidRPr="00000000" w14:paraId="0000012E">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Materiale în format tipărit si materiale video privind procesele studiate.</w:t>
            </w:r>
          </w:p>
        </w:tc>
      </w:tr>
    </w:tbl>
    <w:p w:rsidR="00000000" w:rsidDel="00000000" w:rsidP="00000000" w:rsidRDefault="00000000" w:rsidRPr="00000000" w14:paraId="0000012F">
      <w:pPr>
        <w:spacing w:line="360" w:lineRule="auto"/>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130">
      <w:pPr>
        <w:spacing w:line="36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G. BIBLIOGRAFIE</w:t>
      </w:r>
    </w:p>
    <w:p w:rsidR="00000000" w:rsidDel="00000000" w:rsidP="00000000" w:rsidRDefault="00000000" w:rsidRPr="00000000" w14:paraId="00000131">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sz w:val="23"/>
          <w:szCs w:val="23"/>
        </w:rPr>
      </w:pPr>
      <w:r w:rsidDel="00000000" w:rsidR="00000000" w:rsidRPr="00000000">
        <w:rPr>
          <w:rFonts w:ascii="Times New Roman" w:cs="Times New Roman" w:eastAsia="Times New Roman" w:hAnsi="Times New Roman"/>
          <w:color w:val="000000"/>
          <w:sz w:val="23"/>
          <w:szCs w:val="23"/>
          <w:rtl w:val="0"/>
        </w:rPr>
        <w:t xml:space="preserve">1.</w:t>
        <w:tab/>
        <w:t xml:space="preserve">Bărbulescu, Iordan Gh. 2015. Noua Europă. Identitate și model european. Iași: Ed. Polirom.</w:t>
      </w:r>
    </w:p>
    <w:p w:rsidR="00000000" w:rsidDel="00000000" w:rsidP="00000000" w:rsidRDefault="00000000" w:rsidRPr="00000000" w14:paraId="00000132">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sz w:val="23"/>
          <w:szCs w:val="23"/>
        </w:rPr>
      </w:pPr>
      <w:r w:rsidDel="00000000" w:rsidR="00000000" w:rsidRPr="00000000">
        <w:rPr>
          <w:rFonts w:ascii="Times New Roman" w:cs="Times New Roman" w:eastAsia="Times New Roman" w:hAnsi="Times New Roman"/>
          <w:color w:val="000000"/>
          <w:sz w:val="23"/>
          <w:szCs w:val="23"/>
          <w:rtl w:val="0"/>
        </w:rPr>
        <w:t xml:space="preserve">2.</w:t>
        <w:tab/>
        <w:t xml:space="preserve">Bărbulescu, Iordan Gh. 2008. Procesul decizional în Uniunea Europeană. Iaşi: Ed. Polirom.</w:t>
      </w:r>
    </w:p>
    <w:p w:rsidR="00000000" w:rsidDel="00000000" w:rsidP="00000000" w:rsidRDefault="00000000" w:rsidRPr="00000000" w14:paraId="00000133">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sz w:val="23"/>
          <w:szCs w:val="23"/>
        </w:rPr>
      </w:pPr>
      <w:r w:rsidDel="00000000" w:rsidR="00000000" w:rsidRPr="00000000">
        <w:rPr>
          <w:rFonts w:ascii="Times New Roman" w:cs="Times New Roman" w:eastAsia="Times New Roman" w:hAnsi="Times New Roman"/>
          <w:color w:val="000000"/>
          <w:sz w:val="23"/>
          <w:szCs w:val="23"/>
          <w:rtl w:val="0"/>
        </w:rPr>
        <w:t xml:space="preserve">3.</w:t>
        <w:tab/>
        <w:t xml:space="preserve">Sauron, Jean-Luc. Curs de instituții europene: puzzle-ul European. Iași: Polirom, 2010. Publicată Cours d'institutions européennes. Le puzzle européen (Paris: Gualino Editeur, 2004. Ediția a doua).</w:t>
      </w:r>
    </w:p>
    <w:p w:rsidR="00000000" w:rsidDel="00000000" w:rsidP="00000000" w:rsidRDefault="00000000" w:rsidRPr="00000000" w14:paraId="00000134">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sz w:val="23"/>
          <w:szCs w:val="23"/>
        </w:rPr>
      </w:pPr>
      <w:r w:rsidDel="00000000" w:rsidR="00000000" w:rsidRPr="00000000">
        <w:rPr>
          <w:rFonts w:ascii="Times New Roman" w:cs="Times New Roman" w:eastAsia="Times New Roman" w:hAnsi="Times New Roman"/>
          <w:color w:val="000000"/>
          <w:sz w:val="23"/>
          <w:szCs w:val="23"/>
          <w:rtl w:val="0"/>
        </w:rPr>
        <w:t xml:space="preserve">4.</w:t>
        <w:tab/>
        <w:t xml:space="preserve">Wallace, Hellen, William Walace și Mark A. Pollack. 2005. Elaborarea politicilor în Uniunea Europeană. Ediţia a cincea. Bucureşti: Institutul European din România. Părţile I şi III. </w:t>
      </w:r>
    </w:p>
    <w:p w:rsidR="00000000" w:rsidDel="00000000" w:rsidP="00000000" w:rsidRDefault="00000000" w:rsidRPr="00000000" w14:paraId="00000135">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sz w:val="23"/>
          <w:szCs w:val="23"/>
        </w:rPr>
      </w:pPr>
      <w:r w:rsidDel="00000000" w:rsidR="00000000" w:rsidRPr="00000000">
        <w:rPr>
          <w:rFonts w:ascii="Times New Roman" w:cs="Times New Roman" w:eastAsia="Times New Roman" w:hAnsi="Times New Roman"/>
          <w:color w:val="000000"/>
          <w:sz w:val="23"/>
          <w:szCs w:val="23"/>
          <w:rtl w:val="0"/>
        </w:rPr>
        <w:t xml:space="preserve">5.</w:t>
        <w:tab/>
        <w:t xml:space="preserve">Tratatul de la Lisabona, 2009. (Uniunea Europeană. Versiune Consolidată a Tratatului privind Uniunea Europeană și a Tratatului privind Funcționarea Uniunii Europene.) În Jurnalul Oficial al Uniunii Europene, C 83 din 30 martie 2010. Pp. 1-403.</w:t>
      </w:r>
    </w:p>
    <w:p w:rsidR="00000000" w:rsidDel="00000000" w:rsidP="00000000" w:rsidRDefault="00000000" w:rsidRPr="00000000" w14:paraId="00000136">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sz w:val="23"/>
          <w:szCs w:val="23"/>
        </w:rPr>
      </w:pPr>
      <w:r w:rsidDel="00000000" w:rsidR="00000000" w:rsidRPr="00000000">
        <w:rPr>
          <w:rFonts w:ascii="Times New Roman" w:cs="Times New Roman" w:eastAsia="Times New Roman" w:hAnsi="Times New Roman"/>
          <w:color w:val="000000"/>
          <w:sz w:val="23"/>
          <w:szCs w:val="23"/>
          <w:rtl w:val="0"/>
        </w:rPr>
        <w:t xml:space="preserve">6.</w:t>
        <w:tab/>
        <w:t xml:space="preserve">Cini, Michelle. European Union Politics. New York: Oxford University Press, 2010.</w:t>
      </w:r>
    </w:p>
    <w:p w:rsidR="00000000" w:rsidDel="00000000" w:rsidP="00000000" w:rsidRDefault="00000000" w:rsidRPr="00000000" w14:paraId="00000137">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sz w:val="23"/>
          <w:szCs w:val="23"/>
        </w:rPr>
      </w:pPr>
      <w:r w:rsidDel="00000000" w:rsidR="00000000" w:rsidRPr="00000000">
        <w:rPr>
          <w:rFonts w:ascii="Times New Roman" w:cs="Times New Roman" w:eastAsia="Times New Roman" w:hAnsi="Times New Roman"/>
          <w:color w:val="000000"/>
          <w:sz w:val="23"/>
          <w:szCs w:val="23"/>
          <w:rtl w:val="0"/>
        </w:rPr>
        <w:t xml:space="preserve">7.</w:t>
        <w:tab/>
        <w:t xml:space="preserve">Wiener, Antje și Thomas Diez. European Integration Theory. New York: Oxford University Press, 2009.</w:t>
      </w:r>
    </w:p>
    <w:p w:rsidR="00000000" w:rsidDel="00000000" w:rsidP="00000000" w:rsidRDefault="00000000" w:rsidRPr="00000000" w14:paraId="00000138">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sz w:val="23"/>
          <w:szCs w:val="23"/>
        </w:rPr>
      </w:pPr>
      <w:r w:rsidDel="00000000" w:rsidR="00000000" w:rsidRPr="00000000">
        <w:rPr>
          <w:rFonts w:ascii="Times New Roman" w:cs="Times New Roman" w:eastAsia="Times New Roman" w:hAnsi="Times New Roman"/>
          <w:color w:val="000000"/>
          <w:sz w:val="23"/>
          <w:szCs w:val="23"/>
          <w:rtl w:val="0"/>
        </w:rPr>
        <w:t xml:space="preserve">8.</w:t>
        <w:tab/>
        <w:t xml:space="preserve">Sidjanski, Dusan. Viitorul federalist al Europei. Comunitatea Europeană de la origini la Tratatul de la Lisabona. Iași: Polirom, 2010.</w:t>
      </w:r>
    </w:p>
    <w:p w:rsidR="00000000" w:rsidDel="00000000" w:rsidP="00000000" w:rsidRDefault="00000000" w:rsidRPr="00000000" w14:paraId="00000139">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sz w:val="23"/>
          <w:szCs w:val="23"/>
        </w:rPr>
      </w:pPr>
      <w:r w:rsidDel="00000000" w:rsidR="00000000" w:rsidRPr="00000000">
        <w:rPr>
          <w:rFonts w:ascii="Times New Roman" w:cs="Times New Roman" w:eastAsia="Times New Roman" w:hAnsi="Times New Roman"/>
          <w:color w:val="000000"/>
          <w:sz w:val="23"/>
          <w:szCs w:val="23"/>
          <w:rtl w:val="0"/>
        </w:rPr>
        <w:t xml:space="preserve">9.</w:t>
        <w:tab/>
        <w:t xml:space="preserve">Bărbulescu, Iordan și Daniela Răpan. 2009. Dicţionarul explicativ trilingv al Uniunii Europene – română, engleză, franceză. Iaşi: Ed. Polirom. </w:t>
      </w:r>
    </w:p>
    <w:p w:rsidR="00000000" w:rsidDel="00000000" w:rsidP="00000000" w:rsidRDefault="00000000" w:rsidRPr="00000000" w14:paraId="0000013A">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sz w:val="23"/>
          <w:szCs w:val="23"/>
        </w:rPr>
      </w:pPr>
      <w:r w:rsidDel="00000000" w:rsidR="00000000" w:rsidRPr="00000000">
        <w:rPr>
          <w:rFonts w:ascii="Times New Roman" w:cs="Times New Roman" w:eastAsia="Times New Roman" w:hAnsi="Times New Roman"/>
          <w:color w:val="000000"/>
          <w:sz w:val="23"/>
          <w:szCs w:val="23"/>
          <w:rtl w:val="0"/>
        </w:rPr>
        <w:t xml:space="preserve">10.</w:t>
        <w:tab/>
        <w:t xml:space="preserve">Bărbulescu Iordan, Alice Iancu, Oana – Andreea Ion și Nicolae Toderaș. 2011. Tratatul de la Lisabona. Implicații asupra instituțiilor și politicilor românești. București: Institutul European din România. </w:t>
      </w:r>
    </w:p>
    <w:p w:rsidR="00000000" w:rsidDel="00000000" w:rsidP="00000000" w:rsidRDefault="00000000" w:rsidRPr="00000000" w14:paraId="0000013B">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sz w:val="23"/>
          <w:szCs w:val="23"/>
        </w:rPr>
      </w:pPr>
      <w:r w:rsidDel="00000000" w:rsidR="00000000" w:rsidRPr="00000000">
        <w:rPr>
          <w:rFonts w:ascii="Times New Roman" w:cs="Times New Roman" w:eastAsia="Times New Roman" w:hAnsi="Times New Roman"/>
          <w:color w:val="000000"/>
          <w:sz w:val="23"/>
          <w:szCs w:val="23"/>
          <w:rtl w:val="0"/>
        </w:rPr>
        <w:t xml:space="preserve">Disponibil online: http://www.ier.ro/documente/spos_2010/SPOS_1_site.pdf.</w:t>
      </w:r>
    </w:p>
    <w:p w:rsidR="00000000" w:rsidDel="00000000" w:rsidP="00000000" w:rsidRDefault="00000000" w:rsidRPr="00000000" w14:paraId="0000013C">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sz w:val="23"/>
          <w:szCs w:val="23"/>
        </w:rPr>
      </w:pPr>
      <w:r w:rsidDel="00000000" w:rsidR="00000000" w:rsidRPr="00000000">
        <w:rPr>
          <w:rFonts w:ascii="Times New Roman" w:cs="Times New Roman" w:eastAsia="Times New Roman" w:hAnsi="Times New Roman"/>
          <w:color w:val="000000"/>
          <w:sz w:val="23"/>
          <w:szCs w:val="23"/>
          <w:rtl w:val="0"/>
        </w:rPr>
        <w:t xml:space="preserve">11.</w:t>
        <w:tab/>
        <w:t xml:space="preserve">European Commission. 2007 How the European Union Works. Your guide to the EU Institutions. Luxembourg: Office for Oficial Publications of the European Communities.</w:t>
      </w:r>
    </w:p>
    <w:p w:rsidR="00000000" w:rsidDel="00000000" w:rsidP="00000000" w:rsidRDefault="00000000" w:rsidRPr="00000000" w14:paraId="0000013D">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sz w:val="23"/>
          <w:szCs w:val="23"/>
        </w:rPr>
      </w:pPr>
      <w:r w:rsidDel="00000000" w:rsidR="00000000" w:rsidRPr="00000000">
        <w:rPr>
          <w:rFonts w:ascii="Times New Roman" w:cs="Times New Roman" w:eastAsia="Times New Roman" w:hAnsi="Times New Roman"/>
          <w:color w:val="000000"/>
          <w:sz w:val="23"/>
          <w:szCs w:val="23"/>
          <w:rtl w:val="0"/>
        </w:rPr>
        <w:t xml:space="preserve">12.</w:t>
        <w:tab/>
        <w:t xml:space="preserve">European Union. 2010. Your Guide to the Lisbon Treaty. Luxembourg: Publications Office of the European Union.</w:t>
      </w:r>
    </w:p>
    <w:p w:rsidR="00000000" w:rsidDel="00000000" w:rsidP="00000000" w:rsidRDefault="00000000" w:rsidRPr="00000000" w14:paraId="0000013E">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sz w:val="23"/>
          <w:szCs w:val="23"/>
        </w:rPr>
      </w:pPr>
      <w:r w:rsidDel="00000000" w:rsidR="00000000" w:rsidRPr="00000000">
        <w:rPr>
          <w:rFonts w:ascii="Times New Roman" w:cs="Times New Roman" w:eastAsia="Times New Roman" w:hAnsi="Times New Roman"/>
          <w:color w:val="000000"/>
          <w:sz w:val="23"/>
          <w:szCs w:val="23"/>
          <w:rtl w:val="0"/>
        </w:rPr>
        <w:t xml:space="preserve">13.</w:t>
        <w:tab/>
        <w:t xml:space="preserve">Rosamond, B. 2000. Theories of European Integration, Palgrave Macmillan.</w:t>
      </w:r>
    </w:p>
    <w:p w:rsidR="00000000" w:rsidDel="00000000" w:rsidP="00000000" w:rsidRDefault="00000000" w:rsidRPr="00000000" w14:paraId="0000013F">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sz w:val="23"/>
          <w:szCs w:val="23"/>
        </w:rPr>
      </w:pPr>
      <w:r w:rsidDel="00000000" w:rsidR="00000000" w:rsidRPr="00000000">
        <w:rPr>
          <w:rtl w:val="0"/>
        </w:rPr>
      </w:r>
    </w:p>
    <w:p w:rsidR="00000000" w:rsidDel="00000000" w:rsidP="00000000" w:rsidRDefault="00000000" w:rsidRPr="00000000" w14:paraId="00000140">
      <w:pPr>
        <w:ind w:right="-567"/>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bCs w:val="1"/>
          <w:color w:val="000000"/>
          <w:sz w:val="20"/>
          <w:szCs w:val="20"/>
          <w:rtl w:val="0"/>
        </w:rPr>
        <w:t xml:space="preserve">DIRECTOR DEPARTAMENT,                                                        </w:t>
        <w:tab/>
        <w:tab/>
        <w:t xml:space="preserve">   TITULAR DE DISCIPLINĂ, </w:t>
      </w:r>
      <w:r w:rsidDel="00000000" w:rsidR="00000000" w:rsidRPr="00000000">
        <w:rPr>
          <w:rtl w:val="0"/>
        </w:rPr>
      </w:r>
    </w:p>
    <w:p w:rsidR="00000000" w:rsidDel="00000000" w:rsidP="00000000" w:rsidRDefault="00000000" w:rsidRPr="00000000" w14:paraId="00000141">
      <w:pPr>
        <w:tabs>
          <w:tab w:val="left" w:leader="none" w:pos="6615"/>
        </w:tabs>
        <w:spacing w:line="360" w:lineRule="auto"/>
        <w:ind w:right="-56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Lectl. Univ. Dr. Claudiu Crăciun                                                       </w:t>
      </w:r>
      <w:r w:rsidDel="00000000" w:rsidR="00000000" w:rsidRPr="00000000">
        <w:rPr>
          <w:rFonts w:ascii="Times New Roman" w:cs="Times New Roman" w:eastAsia="Times New Roman" w:hAnsi="Times New Roman"/>
          <w:rtl w:val="0"/>
        </w:rPr>
        <w:t xml:space="preserve">Prof. Univ. Dr. Iordan Gheorghe Bărbulescu</w:t>
      </w: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709" w:top="993" w:left="1417" w:right="1417" w:header="284"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Georgia"/>
  <w:font w:name="MS Mincho"/>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3">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b w:val="1"/>
        <w:bCs w:val="1"/>
        <w:color w:val="000000"/>
        <w:sz w:val="20"/>
        <w:szCs w:val="20"/>
      </w:rPr>
    </w:pPr>
    <w:r w:rsidDel="00000000" w:rsidR="00000000" w:rsidRPr="00000000">
      <w:rPr/>
      <w:drawing>
        <wp:inline distB="0" distT="0" distL="0" distR="0">
          <wp:extent cx="4194138" cy="475874"/>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94138" cy="475874"/>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70" w:hanging="71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lowerLetter"/>
      <w:lvlText w:val="%1)"/>
      <w:lvlJc w:val="left"/>
      <w:pPr>
        <w:ind w:left="400" w:hanging="360"/>
      </w:pPr>
      <w:rPr/>
    </w:lvl>
    <w:lvl w:ilvl="1">
      <w:start w:val="1"/>
      <w:numFmt w:val="lowerLetter"/>
      <w:lvlText w:val="%2."/>
      <w:lvlJc w:val="left"/>
      <w:pPr>
        <w:ind w:left="1120" w:hanging="360"/>
      </w:pPr>
      <w:rPr/>
    </w:lvl>
    <w:lvl w:ilvl="2">
      <w:start w:val="1"/>
      <w:numFmt w:val="lowerRoman"/>
      <w:lvlText w:val="%3."/>
      <w:lvlJc w:val="right"/>
      <w:pPr>
        <w:ind w:left="1840" w:hanging="180"/>
      </w:pPr>
      <w:rPr/>
    </w:lvl>
    <w:lvl w:ilvl="3">
      <w:start w:val="1"/>
      <w:numFmt w:val="decimal"/>
      <w:lvlText w:val="%4."/>
      <w:lvlJc w:val="left"/>
      <w:pPr>
        <w:ind w:left="2560" w:hanging="360"/>
      </w:pPr>
      <w:rPr/>
    </w:lvl>
    <w:lvl w:ilvl="4">
      <w:start w:val="1"/>
      <w:numFmt w:val="lowerLetter"/>
      <w:lvlText w:val="%5."/>
      <w:lvlJc w:val="left"/>
      <w:pPr>
        <w:ind w:left="3280" w:hanging="360"/>
      </w:pPr>
      <w:rPr/>
    </w:lvl>
    <w:lvl w:ilvl="5">
      <w:start w:val="1"/>
      <w:numFmt w:val="lowerRoman"/>
      <w:lvlText w:val="%6."/>
      <w:lvlJc w:val="right"/>
      <w:pPr>
        <w:ind w:left="4000" w:hanging="180"/>
      </w:pPr>
      <w:rPr/>
    </w:lvl>
    <w:lvl w:ilvl="6">
      <w:start w:val="1"/>
      <w:numFmt w:val="decimal"/>
      <w:lvlText w:val="%7."/>
      <w:lvlJc w:val="left"/>
      <w:pPr>
        <w:ind w:left="4720" w:hanging="360"/>
      </w:pPr>
      <w:rPr/>
    </w:lvl>
    <w:lvl w:ilvl="7">
      <w:start w:val="1"/>
      <w:numFmt w:val="lowerLetter"/>
      <w:lvlText w:val="%8."/>
      <w:lvlJc w:val="left"/>
      <w:pPr>
        <w:ind w:left="5440" w:hanging="360"/>
      </w:pPr>
      <w:rPr/>
    </w:lvl>
    <w:lvl w:ilvl="8">
      <w:start w:val="1"/>
      <w:numFmt w:val="lowerRoman"/>
      <w:lvlText w:val="%9."/>
      <w:lvlJc w:val="right"/>
      <w:pPr>
        <w:ind w:left="616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0" w:before="200" w:lineRule="auto"/>
    </w:pPr>
    <w:rPr>
      <w:rFonts w:ascii="Cambria" w:cs="Cambria" w:eastAsia="Cambria" w:hAnsi="Cambria"/>
      <w:b w:val="1"/>
      <w:bCs w:val="1"/>
      <w:color w:val="4f81bd"/>
    </w:rPr>
  </w:style>
  <w:style w:type="paragraph" w:styleId="Heading4">
    <w:name w:val="heading 4"/>
    <w:basedOn w:val="Normal"/>
    <w:next w:val="Normal"/>
    <w:pPr>
      <w:keepNext w:val="1"/>
      <w:pBdr>
        <w:top w:color="000000" w:space="1" w:sz="12" w:val="single"/>
        <w:left w:color="000000" w:space="4" w:sz="12" w:val="single"/>
        <w:bottom w:color="000000" w:space="1" w:sz="12" w:val="single"/>
        <w:right w:color="000000" w:space="4" w:sz="12" w:val="single"/>
      </w:pBdr>
      <w:spacing w:after="0" w:line="360" w:lineRule="auto"/>
      <w:jc w:val="both"/>
    </w:pPr>
    <w:rPr>
      <w:rFonts w:ascii="Times New Roman" w:cs="Times New Roman" w:eastAsia="Times New Roman" w:hAnsi="Times New Roman"/>
      <w:b w:val="1"/>
      <w:bCs w:val="1"/>
      <w:i w:val="1"/>
      <w:iCs w:val="1"/>
      <w:sz w:val="24"/>
      <w:szCs w:val="24"/>
    </w:rPr>
  </w:style>
  <w:style w:type="paragraph" w:styleId="Heading5">
    <w:name w:val="heading 5"/>
    <w:basedOn w:val="Normal"/>
    <w:next w:val="Normal"/>
    <w:pPr>
      <w:keepNext w:val="1"/>
      <w:keepLines w:val="1"/>
      <w:spacing w:after="0" w:before="200" w:lineRule="auto"/>
    </w:pPr>
    <w:rPr>
      <w:rFonts w:ascii="Cambria" w:cs="Cambria" w:eastAsia="Cambria" w:hAnsi="Cambria"/>
      <w:color w:val="243f60"/>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BalloonText">
    <w:name w:val="Balloon Text"/>
    <w:basedOn w:val="Normal"/>
    <w:link w:val="BalloonTextChar"/>
    <w:uiPriority w:val="99"/>
    <w:semiHidden w:val="1"/>
    <w:unhideWhenUsed w:val="1"/>
    <w:rsid w:val="00171BDD"/>
    <w:pPr>
      <w:spacing w:after="0" w:line="240" w:lineRule="auto"/>
    </w:pPr>
    <w:rPr>
      <w:rFonts w:ascii="Tahoma" w:cs="Tahoma" w:hAnsi="Tahoma"/>
      <w:sz w:val="16"/>
      <w:szCs w:val="16"/>
    </w:rPr>
  </w:style>
  <w:style w:type="character" w:styleId="BalloonTextChar" w:customStyle="1">
    <w:name w:val="Balloon Text Char"/>
    <w:link w:val="BalloonText"/>
    <w:uiPriority w:val="99"/>
    <w:semiHidden w:val="1"/>
    <w:rsid w:val="00171BDD"/>
    <w:rPr>
      <w:rFonts w:ascii="Tahoma" w:cs="Tahoma" w:hAnsi="Tahoma"/>
      <w:sz w:val="16"/>
      <w:szCs w:val="16"/>
    </w:rPr>
  </w:style>
  <w:style w:type="paragraph" w:styleId="ListParagraph">
    <w:name w:val="List Paragraph"/>
    <w:basedOn w:val="Normal"/>
    <w:uiPriority w:val="34"/>
    <w:qFormat w:val="1"/>
    <w:rsid w:val="00071FF9"/>
    <w:pPr>
      <w:ind w:left="720"/>
      <w:contextualSpacing w:val="1"/>
    </w:pPr>
  </w:style>
  <w:style w:type="paragraph" w:styleId="Default" w:customStyle="1">
    <w:name w:val="Default"/>
    <w:rsid w:val="00071FF9"/>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B8313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nhideWhenUsed w:val="1"/>
    <w:rsid w:val="00FF1214"/>
    <w:pPr>
      <w:tabs>
        <w:tab w:val="center" w:pos="4536"/>
        <w:tab w:val="right" w:pos="9072"/>
      </w:tabs>
      <w:spacing w:after="0" w:line="240" w:lineRule="auto"/>
    </w:pPr>
  </w:style>
  <w:style w:type="character" w:styleId="HeaderChar" w:customStyle="1">
    <w:name w:val="Header Char"/>
    <w:basedOn w:val="DefaultParagraphFont"/>
    <w:link w:val="Header"/>
    <w:rsid w:val="00FF1214"/>
  </w:style>
  <w:style w:type="paragraph" w:styleId="Footer">
    <w:name w:val="footer"/>
    <w:basedOn w:val="Normal"/>
    <w:link w:val="FooterChar"/>
    <w:uiPriority w:val="99"/>
    <w:unhideWhenUsed w:val="1"/>
    <w:rsid w:val="00FF1214"/>
    <w:pPr>
      <w:tabs>
        <w:tab w:val="center" w:pos="4536"/>
        <w:tab w:val="right" w:pos="9072"/>
      </w:tabs>
      <w:spacing w:after="0" w:line="240" w:lineRule="auto"/>
    </w:pPr>
  </w:style>
  <w:style w:type="character" w:styleId="FooterChar" w:customStyle="1">
    <w:name w:val="Footer Char"/>
    <w:basedOn w:val="DefaultParagraphFont"/>
    <w:link w:val="Footer"/>
    <w:uiPriority w:val="99"/>
    <w:rsid w:val="00FF1214"/>
  </w:style>
  <w:style w:type="character" w:styleId="Heading4Char" w:customStyle="1">
    <w:name w:val="Heading 4 Char"/>
    <w:link w:val="Heading4"/>
    <w:rsid w:val="00E917AB"/>
    <w:rPr>
      <w:rFonts w:ascii="Times New Roman" w:cs="Times New Roman" w:eastAsia="Times New Roman" w:hAnsi="Times New Roman"/>
      <w:b w:val="1"/>
      <w:i w:val="1"/>
      <w:sz w:val="24"/>
      <w:szCs w:val="20"/>
      <w:lang w:eastAsia="ro-RO"/>
    </w:rPr>
  </w:style>
  <w:style w:type="paragraph" w:styleId="FootnoteText">
    <w:name w:val="footnote text"/>
    <w:basedOn w:val="Normal"/>
    <w:link w:val="FootnoteTextChar"/>
    <w:uiPriority w:val="99"/>
    <w:semiHidden w:val="1"/>
    <w:unhideWhenUsed w:val="1"/>
    <w:rsid w:val="00374DA8"/>
    <w:pPr>
      <w:spacing w:after="0" w:line="240" w:lineRule="auto"/>
    </w:pPr>
    <w:rPr>
      <w:sz w:val="20"/>
      <w:szCs w:val="20"/>
    </w:rPr>
  </w:style>
  <w:style w:type="character" w:styleId="FootnoteTextChar" w:customStyle="1">
    <w:name w:val="Footnote Text Char"/>
    <w:link w:val="FootnoteText"/>
    <w:uiPriority w:val="99"/>
    <w:semiHidden w:val="1"/>
    <w:rsid w:val="00374DA8"/>
    <w:rPr>
      <w:sz w:val="20"/>
      <w:szCs w:val="20"/>
    </w:rPr>
  </w:style>
  <w:style w:type="character" w:styleId="FootnoteReference">
    <w:name w:val="footnote reference"/>
    <w:uiPriority w:val="99"/>
    <w:semiHidden w:val="1"/>
    <w:unhideWhenUsed w:val="1"/>
    <w:rsid w:val="00374DA8"/>
    <w:rPr>
      <w:vertAlign w:val="superscript"/>
    </w:rPr>
  </w:style>
  <w:style w:type="character" w:styleId="Heading3Char" w:customStyle="1">
    <w:name w:val="Heading 3 Char"/>
    <w:link w:val="Heading3"/>
    <w:uiPriority w:val="9"/>
    <w:semiHidden w:val="1"/>
    <w:rsid w:val="00F45932"/>
    <w:rPr>
      <w:rFonts w:ascii="Cambria" w:cs="Times New Roman" w:eastAsia="Times New Roman" w:hAnsi="Cambria"/>
      <w:b w:val="1"/>
      <w:bCs w:val="1"/>
      <w:color w:val="4f81bd"/>
    </w:rPr>
  </w:style>
  <w:style w:type="character" w:styleId="Heading5Char" w:customStyle="1">
    <w:name w:val="Heading 5 Char"/>
    <w:link w:val="Heading5"/>
    <w:uiPriority w:val="9"/>
    <w:rsid w:val="00F45932"/>
    <w:rPr>
      <w:rFonts w:ascii="Cambria" w:cs="Times New Roman" w:eastAsia="Times New Roman" w:hAnsi="Cambria"/>
      <w:color w:val="243f60"/>
    </w:rPr>
  </w:style>
  <w:style w:type="character" w:styleId="Hyperlink">
    <w:name w:val="Hyperlink"/>
    <w:uiPriority w:val="99"/>
    <w:unhideWhenUsed w:val="1"/>
    <w:rsid w:val="00022ECD"/>
    <w:rPr>
      <w:color w:val="0000ff"/>
      <w:u w:val="single"/>
    </w:rPr>
  </w:style>
  <w:style w:type="character" w:styleId="HTMLCite">
    <w:name w:val="HTML Cite"/>
    <w:rsid w:val="007B1DF0"/>
    <w:rPr>
      <w:i w:val="1"/>
      <w:iCs w:val="1"/>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15.0" w:type="dxa"/>
        <w:right w:w="115.0" w:type="dxa"/>
      </w:tblCellMar>
    </w:tblPr>
  </w:style>
  <w:style w:type="character" w:styleId="CommentReference">
    <w:name w:val="annotation reference"/>
    <w:basedOn w:val="DefaultParagraphFont"/>
    <w:uiPriority w:val="99"/>
    <w:semiHidden w:val="1"/>
    <w:unhideWhenUsed w:val="1"/>
    <w:rsid w:val="00283035"/>
    <w:rPr>
      <w:sz w:val="16"/>
      <w:szCs w:val="16"/>
    </w:rPr>
  </w:style>
  <w:style w:type="paragraph" w:styleId="CommentText">
    <w:name w:val="annotation text"/>
    <w:basedOn w:val="Normal"/>
    <w:link w:val="CommentTextChar"/>
    <w:uiPriority w:val="99"/>
    <w:semiHidden w:val="1"/>
    <w:unhideWhenUsed w:val="1"/>
    <w:rsid w:val="00283035"/>
    <w:pPr>
      <w:spacing w:line="240" w:lineRule="auto"/>
    </w:pPr>
    <w:rPr>
      <w:rFonts w:cs="Times New Roman"/>
      <w:sz w:val="20"/>
      <w:szCs w:val="20"/>
      <w:lang w:eastAsia="en-US"/>
    </w:rPr>
  </w:style>
  <w:style w:type="character" w:styleId="CommentTextChar" w:customStyle="1">
    <w:name w:val="Comment Text Char"/>
    <w:basedOn w:val="DefaultParagraphFont"/>
    <w:link w:val="CommentText"/>
    <w:uiPriority w:val="99"/>
    <w:semiHidden w:val="1"/>
    <w:rsid w:val="00283035"/>
    <w:rPr>
      <w:rFonts w:cs="Times New Roman"/>
      <w:sz w:val="20"/>
      <w:szCs w:val="20"/>
      <w:lang w:eastAsia="en-US"/>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Pr>
  </w:style>
  <w:style w:type="table" w:styleId="Table3">
    <w:basedOn w:val="TableNormal"/>
    <w:tblPr>
      <w:tblStyleRowBandSize w:val="1"/>
      <w:tblStyleColBandSize w:val="1"/>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8WFZ/BFHLXVhksZ2UKoYjIT4QQ==">CgMxLjAaHwoBMBIaChgICVIUChJ0YWJsZS53c2F2OW9iYXNmeHMaHwoBMRIaChgICVIUChJ0YWJsZS44NnVlNjljamlsNXc4AHIhMU5CMGxHaXlMc3BnUUtKSjF6RW15RVJaRjVTNG1NZnFx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2020-05-05T04:36:00Z</dcterms:created>
  <dc:creator>33</dc:creator>
</cp:coreProperties>
</file>